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86D0BCD">
      <w:pPr>
        <w:spacing w:line="285" w:lineRule="auto"/>
        <w:jc w:val="center"/>
      </w:pPr>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11785600</wp:posOffset>
            </wp:positionH>
            <wp:positionV relativeFrom="topMargin">
              <wp:posOffset>11125200</wp:posOffset>
            </wp:positionV>
            <wp:extent cx="381000" cy="342900"/>
            <wp:effectExtent l="0" t="0" r="0" b="0"/>
            <wp:wrapNone/>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4"/>
                    <a:stretch>
                      <a:fillRect/>
                    </a:stretch>
                  </pic:blipFill>
                  <pic:spPr>
                    <a:xfrm>
                      <a:off x="0" y="0"/>
                      <a:ext cx="381000" cy="342900"/>
                    </a:xfrm>
                    <a:prstGeom prst="rect">
                      <a:avLst/>
                    </a:prstGeom>
                  </pic:spPr>
                </pic:pic>
              </a:graphicData>
            </a:graphic>
          </wp:anchor>
        </w:drawing>
      </w:r>
      <w:r>
        <w:rPr>
          <w:rFonts w:ascii="Times New Roman" w:hAnsi="Times New Roman" w:eastAsia="Times New Roman" w:cs="Times New Roman"/>
          <w:b/>
          <w:color w:val="auto"/>
          <w:sz w:val="32"/>
        </w:rPr>
        <w:t>2025</w:t>
      </w:r>
      <w:r>
        <w:rPr>
          <w:rFonts w:ascii="宋体" w:hAnsi="宋体" w:eastAsia="宋体" w:cs="宋体"/>
          <w:b/>
          <w:color w:val="auto"/>
          <w:sz w:val="32"/>
        </w:rPr>
        <w:t>年普通高中学业水平选择性考试（江苏卷）</w:t>
      </w:r>
    </w:p>
    <w:p w14:paraId="1AF34762">
      <w:pPr>
        <w:spacing w:line="285" w:lineRule="auto"/>
        <w:jc w:val="center"/>
      </w:pPr>
      <w:r>
        <w:rPr>
          <w:rFonts w:ascii="宋体" w:hAnsi="宋体" w:eastAsia="宋体" w:cs="宋体"/>
          <w:b/>
          <w:color w:val="auto"/>
          <w:sz w:val="32"/>
        </w:rPr>
        <w:t>地</w:t>
      </w:r>
      <w:r>
        <w:rPr>
          <w:rFonts w:hint="eastAsia" w:ascii="宋体" w:hAnsi="宋体" w:cs="宋体"/>
          <w:b/>
          <w:color w:val="auto"/>
          <w:sz w:val="32"/>
          <w:lang w:val="en-US" w:eastAsia="zh-CN"/>
        </w:rPr>
        <w:t xml:space="preserve"> </w:t>
      </w:r>
      <w:r>
        <w:rPr>
          <w:rFonts w:ascii="宋体" w:hAnsi="宋体" w:eastAsia="宋体" w:cs="宋体"/>
          <w:b/>
          <w:color w:val="auto"/>
          <w:sz w:val="32"/>
        </w:rPr>
        <w:t>理</w:t>
      </w:r>
    </w:p>
    <w:p w14:paraId="49BEB0C0">
      <w:pPr>
        <w:spacing w:line="285" w:lineRule="auto"/>
        <w:jc w:val="center"/>
      </w:pPr>
      <w:r>
        <w:rPr>
          <w:rFonts w:ascii="宋体" w:hAnsi="宋体" w:eastAsia="宋体" w:cs="宋体"/>
          <w:b/>
          <w:color w:val="auto"/>
          <w:sz w:val="24"/>
        </w:rPr>
        <w:t>本试卷满分</w:t>
      </w:r>
      <w:r>
        <w:rPr>
          <w:rFonts w:ascii="Times New Roman" w:hAnsi="Times New Roman" w:eastAsia="Times New Roman" w:cs="Times New Roman"/>
          <w:b/>
          <w:color w:val="auto"/>
          <w:sz w:val="24"/>
        </w:rPr>
        <w:t>100</w:t>
      </w:r>
      <w:r>
        <w:rPr>
          <w:rFonts w:ascii="宋体" w:hAnsi="宋体" w:eastAsia="宋体" w:cs="宋体"/>
          <w:b/>
          <w:color w:val="auto"/>
          <w:sz w:val="24"/>
        </w:rPr>
        <w:t>分，考试时间</w:t>
      </w:r>
      <w:r>
        <w:rPr>
          <w:rFonts w:ascii="Times New Roman" w:hAnsi="Times New Roman" w:eastAsia="Times New Roman" w:cs="Times New Roman"/>
          <w:b/>
          <w:color w:val="auto"/>
          <w:sz w:val="24"/>
        </w:rPr>
        <w:t>75</w:t>
      </w:r>
      <w:r>
        <w:rPr>
          <w:rFonts w:ascii="宋体" w:hAnsi="宋体" w:eastAsia="宋体" w:cs="宋体"/>
          <w:b/>
          <w:color w:val="auto"/>
          <w:sz w:val="24"/>
        </w:rPr>
        <w:t>分钟。</w:t>
      </w:r>
    </w:p>
    <w:p w14:paraId="6F37A6B4">
      <w:pPr>
        <w:spacing w:line="285" w:lineRule="auto"/>
        <w:jc w:val="left"/>
      </w:pPr>
      <w:r>
        <w:rPr>
          <w:rFonts w:ascii="宋体" w:hAnsi="宋体" w:eastAsia="宋体" w:cs="宋体"/>
          <w:b/>
          <w:color w:val="auto"/>
          <w:sz w:val="24"/>
        </w:rPr>
        <w:t>一、单项选择题：共</w:t>
      </w:r>
      <w:r>
        <w:rPr>
          <w:rFonts w:ascii="Times New Roman" w:hAnsi="Times New Roman" w:eastAsia="Times New Roman" w:cs="Times New Roman"/>
          <w:b/>
          <w:color w:val="auto"/>
          <w:sz w:val="24"/>
        </w:rPr>
        <w:t>23</w:t>
      </w:r>
      <w:r>
        <w:rPr>
          <w:rFonts w:ascii="宋体" w:hAnsi="宋体" w:eastAsia="宋体" w:cs="宋体"/>
          <w:b/>
          <w:color w:val="auto"/>
          <w:sz w:val="24"/>
        </w:rPr>
        <w:t>题，每题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46</w:t>
      </w:r>
      <w:r>
        <w:rPr>
          <w:rFonts w:ascii="宋体" w:hAnsi="宋体" w:eastAsia="宋体" w:cs="宋体"/>
          <w:b/>
          <w:color w:val="auto"/>
          <w:sz w:val="24"/>
        </w:rPr>
        <w:t>分。每题只有一个选项最符合题意。</w:t>
      </w:r>
    </w:p>
    <w:p w14:paraId="4DEEC0CB">
      <w:pPr>
        <w:spacing w:line="360" w:lineRule="auto"/>
        <w:ind w:firstLine="420"/>
        <w:jc w:val="left"/>
      </w:pPr>
      <w:r>
        <w:rPr>
          <w:rFonts w:ascii="Times New Roman" w:hAnsi="Times New Roman" w:eastAsia="Times New Roman" w:cs="Times New Roman"/>
          <w:color w:val="auto"/>
        </w:rPr>
        <w:t>10</w:t>
      </w:r>
      <w:r>
        <w:rPr>
          <w:rFonts w:ascii="楷体" w:hAnsi="楷体" w:eastAsia="楷体" w:cs="楷体"/>
          <w:color w:val="auto"/>
        </w:rPr>
        <w:t>月中旬，拉萨市（</w:t>
      </w:r>
      <w:r>
        <w:rPr>
          <w:rFonts w:ascii="Times New Roman" w:hAnsi="Times New Roman" w:eastAsia="Times New Roman" w:cs="Times New Roman"/>
          <w:color w:val="auto"/>
        </w:rPr>
        <w:t>29</w:t>
      </w:r>
      <w:r>
        <w:rPr>
          <w:rFonts w:ascii="楷体" w:hAnsi="楷体" w:eastAsia="楷体" w:cs="楷体"/>
          <w:color w:val="auto"/>
        </w:rPr>
        <w:t>°</w:t>
      </w:r>
      <w:r>
        <w:rPr>
          <w:rFonts w:ascii="Times New Roman" w:hAnsi="Times New Roman" w:eastAsia="Times New Roman" w:cs="Times New Roman"/>
          <w:color w:val="auto"/>
        </w:rPr>
        <w:t>N</w:t>
      </w:r>
      <w:r>
        <w:rPr>
          <w:rFonts w:ascii="楷体" w:hAnsi="楷体" w:eastAsia="楷体" w:cs="楷体"/>
          <w:color w:val="auto"/>
        </w:rPr>
        <w:t>，</w:t>
      </w:r>
      <w:r>
        <w:rPr>
          <w:rFonts w:ascii="Times New Roman" w:hAnsi="Times New Roman" w:eastAsia="Times New Roman" w:cs="Times New Roman"/>
          <w:color w:val="auto"/>
        </w:rPr>
        <w:t>91</w:t>
      </w:r>
      <w:r>
        <w:rPr>
          <w:rFonts w:ascii="楷体" w:hAnsi="楷体" w:eastAsia="楷体" w:cs="楷体"/>
          <w:color w:val="auto"/>
        </w:rPr>
        <w:t>°</w:t>
      </w:r>
      <w:r>
        <w:rPr>
          <w:rFonts w:ascii="Times New Roman" w:hAnsi="Times New Roman" w:eastAsia="Times New Roman" w:cs="Times New Roman"/>
          <w:color w:val="auto"/>
        </w:rPr>
        <w:t>E</w:t>
      </w:r>
      <w:r>
        <w:rPr>
          <w:rFonts w:ascii="楷体" w:hAnsi="楷体" w:eastAsia="楷体" w:cs="楷体"/>
          <w:color w:val="auto"/>
        </w:rPr>
        <w:t>）某中学学生开展校园地理实践活动，下图为</w:t>
      </w:r>
      <w:r>
        <w:rPr>
          <w:rFonts w:ascii="宋体" w:hAnsi="宋体" w:eastAsia="宋体" w:cs="宋体"/>
          <w:color w:val="auto"/>
        </w:rPr>
        <w:t>“</w:t>
      </w:r>
      <w:r>
        <w:rPr>
          <w:rFonts w:ascii="楷体" w:hAnsi="楷体" w:eastAsia="楷体" w:cs="楷体"/>
          <w:color w:val="auto"/>
        </w:rPr>
        <w:t>北京时间</w:t>
      </w:r>
      <w:r>
        <w:rPr>
          <w:rFonts w:ascii="Times New Roman" w:hAnsi="Times New Roman" w:eastAsia="Times New Roman" w:cs="Times New Roman"/>
          <w:color w:val="auto"/>
        </w:rPr>
        <w:t>13</w:t>
      </w:r>
      <w:r>
        <w:rPr>
          <w:rFonts w:ascii="楷体" w:hAnsi="楷体" w:eastAsia="楷体" w:cs="楷体"/>
          <w:color w:val="auto"/>
        </w:rPr>
        <w:t>时</w:t>
      </w:r>
      <w:r>
        <w:rPr>
          <w:rFonts w:ascii="Times New Roman" w:hAnsi="Times New Roman" w:eastAsia="Times New Roman" w:cs="Times New Roman"/>
          <w:color w:val="auto"/>
        </w:rPr>
        <w:t>56</w:t>
      </w:r>
      <w:r>
        <w:rPr>
          <w:rFonts w:ascii="楷体" w:hAnsi="楷体" w:eastAsia="楷体" w:cs="楷体"/>
          <w:color w:val="auto"/>
        </w:rPr>
        <w:t>分拍摄的校园照片</w:t>
      </w:r>
      <w:r>
        <w:rPr>
          <w:rFonts w:ascii="宋体" w:hAnsi="宋体" w:eastAsia="宋体" w:cs="宋体"/>
          <w:color w:val="auto"/>
        </w:rPr>
        <w:t>”</w:t>
      </w:r>
      <w:r>
        <w:rPr>
          <w:rFonts w:ascii="楷体" w:hAnsi="楷体" w:eastAsia="楷体" w:cs="楷体"/>
          <w:color w:val="auto"/>
        </w:rPr>
        <w:t>，完成下面小题。</w:t>
      </w:r>
    </w:p>
    <w:p w14:paraId="6473FF39">
      <w:pPr>
        <w:spacing w:line="360" w:lineRule="auto"/>
        <w:jc w:val="left"/>
      </w:pPr>
      <w:r>
        <w:drawing>
          <wp:inline distT="0" distB="0" distL="114300" distR="114300">
            <wp:extent cx="2362200" cy="225742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5"/>
                    <a:stretch>
                      <a:fillRect/>
                    </a:stretch>
                  </pic:blipFill>
                  <pic:spPr>
                    <a:xfrm>
                      <a:off x="0" y="0"/>
                      <a:ext cx="2362200" cy="2257425"/>
                    </a:xfrm>
                    <a:prstGeom prst="rect">
                      <a:avLst/>
                    </a:prstGeom>
                  </pic:spPr>
                </pic:pic>
              </a:graphicData>
            </a:graphic>
          </wp:inline>
        </w:drawing>
      </w:r>
    </w:p>
    <w:p w14:paraId="56FF0CFE">
      <w:pPr>
        <w:spacing w:line="360" w:lineRule="auto"/>
        <w:jc w:val="left"/>
      </w:pPr>
      <w:r>
        <w:rPr>
          <w:color w:val="auto"/>
        </w:rPr>
        <w:t>1</w:t>
      </w:r>
      <w:r>
        <w:rPr>
          <w:color w:val="auto"/>
          <w:position w:val="-22"/>
        </w:rPr>
        <w:drawing>
          <wp:inline distT="0" distB="0" distL="114300" distR="114300">
            <wp:extent cx="31750" cy="88900"/>
            <wp:effectExtent l="0" t="0" r="0" b="0"/>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6"/>
                    <a:stretch>
                      <a:fillRect/>
                    </a:stretch>
                  </pic:blipFill>
                  <pic:spPr>
                    <a:xfrm>
                      <a:off x="0" y="0"/>
                      <a:ext cx="31750" cy="88900"/>
                    </a:xfrm>
                    <a:prstGeom prst="rect">
                      <a:avLst/>
                    </a:prstGeom>
                  </pic:spPr>
                </pic:pic>
              </a:graphicData>
            </a:graphic>
          </wp:inline>
        </w:drawing>
      </w:r>
      <w:r>
        <w:rPr>
          <w:color w:val="auto"/>
        </w:rPr>
        <w:t xml:space="preserve"> </w:t>
      </w:r>
      <w:r>
        <w:rPr>
          <w:rFonts w:ascii="宋体" w:hAnsi="宋体" w:eastAsia="宋体" w:cs="宋体"/>
          <w:color w:val="auto"/>
        </w:rPr>
        <w:t>图中杆影指向最接近（</w:t>
      </w:r>
      <w:r>
        <w:rPr>
          <w:rFonts w:ascii="Times New Roman" w:hAnsi="Times New Roman" w:eastAsia="Times New Roman" w:cs="Times New Roman"/>
          <w:color w:val="auto"/>
        </w:rPr>
        <w:t xml:space="preserve">   </w:t>
      </w:r>
      <w:r>
        <w:rPr>
          <w:rFonts w:ascii="宋体" w:hAnsi="宋体" w:eastAsia="宋体" w:cs="宋体"/>
          <w:color w:val="auto"/>
        </w:rPr>
        <w:t>）</w:t>
      </w:r>
    </w:p>
    <w:p w14:paraId="45ABB678">
      <w:pPr>
        <w:tabs>
          <w:tab w:val="left" w:pos="2436"/>
          <w:tab w:val="left" w:pos="4873"/>
          <w:tab w:val="left" w:pos="7309"/>
        </w:tabs>
        <w:spacing w:line="360" w:lineRule="auto"/>
        <w:jc w:val="left"/>
        <w:textAlignment w:val="center"/>
        <w:rPr>
          <w:color w:val="auto"/>
        </w:rPr>
      </w:pPr>
      <w:r>
        <w:t xml:space="preserve">A. </w:t>
      </w:r>
      <w:r>
        <w:rPr>
          <w:rFonts w:ascii="宋体" w:hAnsi="宋体" w:eastAsia="宋体" w:cs="宋体"/>
          <w:color w:val="auto"/>
        </w:rPr>
        <w:t>正北</w:t>
      </w:r>
      <w:r>
        <w:tab/>
      </w:r>
      <w:r>
        <w:t xml:space="preserve">B. </w:t>
      </w:r>
      <w:r>
        <w:rPr>
          <w:rFonts w:ascii="宋体" w:hAnsi="宋体" w:eastAsia="宋体" w:cs="宋体"/>
          <w:color w:val="auto"/>
        </w:rPr>
        <w:t>正南</w:t>
      </w:r>
      <w:r>
        <w:tab/>
      </w:r>
      <w:r>
        <w:t xml:space="preserve">C. </w:t>
      </w:r>
      <w:r>
        <w:rPr>
          <w:rFonts w:ascii="宋体" w:hAnsi="宋体" w:eastAsia="宋体" w:cs="宋体"/>
          <w:color w:val="auto"/>
        </w:rPr>
        <w:t>东北</w:t>
      </w:r>
      <w:r>
        <w:tab/>
      </w:r>
      <w:r>
        <w:t xml:space="preserve">D. </w:t>
      </w:r>
      <w:r>
        <w:rPr>
          <w:rFonts w:ascii="宋体" w:hAnsi="宋体" w:eastAsia="宋体" w:cs="宋体"/>
          <w:color w:val="auto"/>
        </w:rPr>
        <w:t>西北</w:t>
      </w:r>
    </w:p>
    <w:p w14:paraId="1098CA7A">
      <w:pPr>
        <w:spacing w:line="360" w:lineRule="auto"/>
        <w:jc w:val="left"/>
      </w:pPr>
      <w:r>
        <w:rPr>
          <w:color w:val="auto"/>
        </w:rPr>
        <w:t xml:space="preserve">2. </w:t>
      </w:r>
      <w:r>
        <w:rPr>
          <w:rFonts w:ascii="宋体" w:hAnsi="宋体" w:eastAsia="宋体" w:cs="宋体"/>
          <w:color w:val="auto"/>
        </w:rPr>
        <w:t>在观测杆影活动中，学生可领悟到与地球运动相关的是学校的（</w:t>
      </w:r>
      <w:r>
        <w:rPr>
          <w:rFonts w:ascii="Times New Roman" w:hAnsi="Times New Roman" w:eastAsia="Times New Roman" w:cs="Times New Roman"/>
          <w:color w:val="auto"/>
        </w:rPr>
        <w:t xml:space="preserve">   </w:t>
      </w:r>
      <w:r>
        <w:rPr>
          <w:rFonts w:ascii="宋体" w:hAnsi="宋体" w:eastAsia="宋体" w:cs="宋体"/>
          <w:color w:val="auto"/>
        </w:rPr>
        <w:t>）</w:t>
      </w:r>
    </w:p>
    <w:p w14:paraId="50859C70">
      <w:pPr>
        <w:tabs>
          <w:tab w:val="left" w:pos="2436"/>
          <w:tab w:val="left" w:pos="4873"/>
          <w:tab w:val="left" w:pos="7309"/>
        </w:tabs>
        <w:spacing w:line="360" w:lineRule="auto"/>
        <w:jc w:val="left"/>
        <w:textAlignment w:val="center"/>
        <w:rPr>
          <w:color w:val="auto"/>
        </w:rPr>
      </w:pPr>
      <w:r>
        <w:t xml:space="preserve">A. </w:t>
      </w:r>
      <w:r>
        <w:rPr>
          <w:rFonts w:ascii="宋体" w:hAnsi="宋体" w:eastAsia="宋体" w:cs="宋体"/>
          <w:color w:val="auto"/>
        </w:rPr>
        <w:t>课程设置</w:t>
      </w:r>
      <w:r>
        <w:tab/>
      </w:r>
      <w:r>
        <w:t xml:space="preserve">B. </w:t>
      </w:r>
      <w:r>
        <w:rPr>
          <w:rFonts w:ascii="宋体" w:hAnsi="宋体" w:eastAsia="宋体" w:cs="宋体"/>
          <w:color w:val="auto"/>
        </w:rPr>
        <w:t>位置选择</w:t>
      </w:r>
      <w:r>
        <w:tab/>
      </w:r>
      <w:r>
        <w:t xml:space="preserve">C. </w:t>
      </w:r>
      <w:r>
        <w:rPr>
          <w:rFonts w:ascii="宋体" w:hAnsi="宋体" w:eastAsia="宋体" w:cs="宋体"/>
          <w:color w:val="auto"/>
        </w:rPr>
        <w:t>空间规模</w:t>
      </w:r>
      <w:r>
        <w:tab/>
      </w:r>
      <w:r>
        <w:t xml:space="preserve">D. </w:t>
      </w:r>
      <w:r>
        <w:rPr>
          <w:rFonts w:ascii="宋体" w:hAnsi="宋体" w:eastAsia="宋体" w:cs="宋体"/>
          <w:color w:val="auto"/>
        </w:rPr>
        <w:t>作息时间</w:t>
      </w:r>
    </w:p>
    <w:p w14:paraId="3964DFD1">
      <w:pPr>
        <w:spacing w:line="360" w:lineRule="auto"/>
        <w:jc w:val="left"/>
      </w:pPr>
      <w:r>
        <w:rPr>
          <w:color w:val="auto"/>
        </w:rPr>
        <w:t xml:space="preserve">3. </w:t>
      </w:r>
      <w:r>
        <w:rPr>
          <w:rFonts w:ascii="宋体" w:hAnsi="宋体" w:eastAsia="宋体" w:cs="宋体"/>
          <w:color w:val="auto"/>
        </w:rPr>
        <w:t>在观察植被过程中，学生发现校园植被比周边山地好，主要是因为（</w:t>
      </w:r>
      <w:r>
        <w:rPr>
          <w:rFonts w:ascii="Times New Roman" w:hAnsi="Times New Roman" w:eastAsia="Times New Roman" w:cs="Times New Roman"/>
          <w:color w:val="auto"/>
        </w:rPr>
        <w:t xml:space="preserve">   </w:t>
      </w:r>
      <w:r>
        <w:rPr>
          <w:rFonts w:ascii="宋体" w:hAnsi="宋体" w:eastAsia="宋体" w:cs="宋体"/>
          <w:color w:val="auto"/>
        </w:rPr>
        <w:t>）</w:t>
      </w:r>
    </w:p>
    <w:p w14:paraId="1D663FFB">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土壤肥力的提高</w:t>
      </w:r>
      <w:r>
        <w:tab/>
      </w:r>
      <w:r>
        <w:t xml:space="preserve">B. </w:t>
      </w:r>
      <w:r>
        <w:rPr>
          <w:rFonts w:ascii="宋体" w:hAnsi="宋体" w:eastAsia="宋体" w:cs="宋体"/>
          <w:color w:val="auto"/>
        </w:rPr>
        <w:t>局地气候的改善</w:t>
      </w:r>
      <w:r>
        <w:tab/>
      </w:r>
      <w:r>
        <w:t xml:space="preserve">C. </w:t>
      </w:r>
      <w:r>
        <w:rPr>
          <w:rFonts w:ascii="宋体" w:hAnsi="宋体" w:eastAsia="宋体" w:cs="宋体"/>
          <w:color w:val="auto"/>
        </w:rPr>
        <w:t>灌溉用水的保障</w:t>
      </w:r>
      <w:r>
        <w:tab/>
      </w:r>
      <w:r>
        <w:t xml:space="preserve">D. </w:t>
      </w:r>
      <w:r>
        <w:rPr>
          <w:rFonts w:ascii="宋体" w:hAnsi="宋体" w:eastAsia="宋体" w:cs="宋体"/>
          <w:color w:val="auto"/>
        </w:rPr>
        <w:t>局部地形的改变</w:t>
      </w:r>
    </w:p>
    <w:p w14:paraId="5B7DB850">
      <w:pPr>
        <w:spacing w:line="360" w:lineRule="auto"/>
        <w:textAlignment w:val="center"/>
        <w:rPr>
          <w:color w:val="000000"/>
        </w:rPr>
      </w:pPr>
      <w:r>
        <w:rPr>
          <w:color w:val="2E75B6"/>
        </w:rPr>
        <w:t>【答案】</w:t>
      </w:r>
      <w:r>
        <w:rPr>
          <w:color w:val="000000"/>
        </w:rPr>
        <w:t>1. A    2. D    3. C</w:t>
      </w:r>
    </w:p>
    <w:p w14:paraId="5A2E3DDF">
      <w:pPr>
        <w:spacing w:line="360" w:lineRule="auto"/>
        <w:textAlignment w:val="center"/>
        <w:rPr>
          <w:color w:val="000000"/>
        </w:rPr>
      </w:pPr>
      <w:r>
        <w:rPr>
          <w:color w:val="2E75B6"/>
        </w:rPr>
        <w:t>【解析】</w:t>
      </w:r>
    </w:p>
    <w:p w14:paraId="4C64C717">
      <w:pPr>
        <w:spacing w:line="360" w:lineRule="auto"/>
        <w:textAlignment w:val="center"/>
        <w:rPr>
          <w:color w:val="000000"/>
        </w:rPr>
      </w:pPr>
      <w:r>
        <w:rPr>
          <w:color w:val="000000"/>
        </w:rPr>
        <w:t>【1题详解】</w:t>
      </w:r>
    </w:p>
    <w:p w14:paraId="394491C9">
      <w:pPr>
        <w:spacing w:line="360" w:lineRule="auto"/>
        <w:jc w:val="left"/>
        <w:textAlignment w:val="center"/>
        <w:rPr>
          <w:color w:val="000000"/>
        </w:rPr>
      </w:pPr>
      <w:r>
        <w:rPr>
          <w:rFonts w:ascii="宋体" w:hAnsi="宋体" w:eastAsia="宋体" w:cs="宋体"/>
          <w:color w:val="000000"/>
        </w:rPr>
        <w:t>根据所学可知，北京时间为120°E的地方时，拉萨经度为91°E，两地经度差为29°。由于1°经度对应4分钟的时间差，因此拉萨地方时比北京时间晚：29°×4分钟=116分钟（1小时56分钟）。当北京时间为13时56分时，拉萨地方时为13时56分－1小时56分=12 时（刚好正午）。10月中旬太阳直射南半球，拉萨（29°N）正午时太阳位于正南天空，因此杆影指向正北，A正确，BCD错误。故选A。</w:t>
      </w:r>
    </w:p>
    <w:p w14:paraId="16EB4707">
      <w:pPr>
        <w:spacing w:line="360" w:lineRule="auto"/>
        <w:jc w:val="left"/>
        <w:textAlignment w:val="center"/>
        <w:rPr>
          <w:color w:val="000000"/>
        </w:rPr>
      </w:pPr>
      <w:r>
        <w:rPr>
          <w:color w:val="000000"/>
        </w:rPr>
        <w:t>【2题详解】</w:t>
      </w:r>
    </w:p>
    <w:p w14:paraId="00D8F066">
      <w:pPr>
        <w:spacing w:line="360" w:lineRule="auto"/>
        <w:jc w:val="left"/>
        <w:textAlignment w:val="center"/>
        <w:rPr>
          <w:color w:val="000000"/>
        </w:rPr>
      </w:pPr>
      <w:r>
        <w:rPr>
          <w:rFonts w:ascii="宋体" w:hAnsi="宋体" w:eastAsia="宋体" w:cs="宋体"/>
          <w:color w:val="000000"/>
        </w:rPr>
        <w:t>根据所学知识可知地球运动包括地球自转和地球公转，地球自转导致昼夜交替，公转导致昼夜长短的变化和季节变化。学校作息时间（如早晚自习时间、午休安排）会根据昼夜长短调整（如夏季昼长则早到校，冬季昼短则晚到校），直接与地球公转相关，在观测杆影活动中，发现太阳日出到日落的时间和方位不同，导致杆影的位置和长短也随着时间发生变化，这都是与地球公转有关，D正确；学校的课程设置、空间规模与地球运动无关；位置选择主要考虑地形、气候等，与地球运动间接相关，ABC错误。故选D。</w:t>
      </w:r>
    </w:p>
    <w:p w14:paraId="032D1CCD">
      <w:pPr>
        <w:spacing w:line="360" w:lineRule="auto"/>
        <w:jc w:val="left"/>
        <w:textAlignment w:val="center"/>
        <w:rPr>
          <w:color w:val="000000"/>
        </w:rPr>
      </w:pPr>
      <w:r>
        <w:rPr>
          <w:color w:val="000000"/>
        </w:rPr>
        <w:t>【3题详解】</w:t>
      </w:r>
    </w:p>
    <w:p w14:paraId="7A29A755">
      <w:pPr>
        <w:spacing w:line="360" w:lineRule="auto"/>
        <w:jc w:val="left"/>
        <w:textAlignment w:val="center"/>
        <w:rPr>
          <w:color w:val="000000"/>
        </w:rPr>
      </w:pPr>
      <w:r>
        <w:rPr>
          <w:rFonts w:ascii="宋体" w:hAnsi="宋体" w:eastAsia="宋体" w:cs="宋体"/>
          <w:color w:val="000000"/>
        </w:rPr>
        <w:t>拉萨市位于青藏高原上，年降水量少，植被生长的主要限制因素是水分。周边山地缺乏人工灌溉，自然降水难以满足植被需求，而校园内可通过人工灌溉（如浇水、喷灌）保障植物水分，显著改善植被生长条件，故校园植被比周边山地好，C正确。青藏高原土壤普遍贫瘠，校园土壤肥力提升有限，植被受土壤肥力的高低影响相对也较弱，A错误；校园和周围山地气候差异不大，校园与周边山地都在同一小范围内，局地气候是一样的，B错误；局部地形改变，对植被有一定影响，但不是主要原因，D错误。故选C。</w:t>
      </w:r>
    </w:p>
    <w:p w14:paraId="4CC461FA">
      <w:pPr>
        <w:spacing w:line="360" w:lineRule="auto"/>
        <w:jc w:val="left"/>
        <w:textAlignment w:val="center"/>
        <w:rPr>
          <w:color w:val="000000"/>
        </w:rPr>
      </w:pPr>
      <w:r>
        <w:rPr>
          <w:color w:val="000000"/>
        </w:rPr>
        <w:t>【点睛】</w:t>
      </w:r>
      <w:r>
        <w:rPr>
          <w:rFonts w:ascii="宋体" w:hAnsi="宋体" w:eastAsia="宋体" w:cs="宋体"/>
          <w:color w:val="000000"/>
        </w:rPr>
        <w:t>日出日落方位规律：春秋二分日：全球各地的日出日落方位除了南北两极点外均为从正东方向升起、从正西方向落下。太阳直射北半球时：全球各地除了极昼、极夜地区以外，太阳都是从东北方向升起、从西北方向落下，纬度越高的地方日出日落的方位也越偏北。太阳直射南半球时：全球各地除了极昼、极夜地区以外，太阳都是从东南方向升起，从西南方向落下，纬度越高的地方日出日落的方位也越偏南。</w:t>
      </w:r>
    </w:p>
    <w:p w14:paraId="15C2EB00">
      <w:pPr>
        <w:spacing w:line="360" w:lineRule="auto"/>
        <w:ind w:firstLine="420"/>
        <w:jc w:val="left"/>
        <w:textAlignment w:val="center"/>
        <w:rPr>
          <w:color w:val="000000"/>
        </w:rPr>
      </w:pPr>
      <w:r>
        <w:rPr>
          <w:rFonts w:ascii="楷体" w:hAnsi="楷体" w:eastAsia="楷体" w:cs="楷体"/>
          <w:color w:val="000000"/>
        </w:rPr>
        <w:t>加拿大最东端的斯比尔角被称为</w:t>
      </w:r>
      <w:r>
        <w:rPr>
          <w:rFonts w:ascii="宋体" w:hAnsi="宋体" w:eastAsia="宋体" w:cs="宋体"/>
          <w:color w:val="000000"/>
        </w:rPr>
        <w:t>“</w:t>
      </w:r>
      <w:r>
        <w:rPr>
          <w:rFonts w:ascii="楷体" w:hAnsi="楷体" w:eastAsia="楷体" w:cs="楷体"/>
          <w:color w:val="000000"/>
        </w:rPr>
        <w:t>加拿大东极</w:t>
      </w:r>
      <w:r>
        <w:rPr>
          <w:rFonts w:ascii="宋体" w:hAnsi="宋体" w:eastAsia="宋体" w:cs="宋体"/>
          <w:color w:val="000000"/>
        </w:rPr>
        <w:t>”</w:t>
      </w:r>
      <w:r>
        <w:rPr>
          <w:rFonts w:ascii="楷体" w:hAnsi="楷体" w:eastAsia="楷体" w:cs="楷体"/>
          <w:color w:val="000000"/>
        </w:rPr>
        <w:t>，是圣约翰斯市热门旅游景点，下图为</w:t>
      </w:r>
      <w:r>
        <w:rPr>
          <w:rFonts w:ascii="宋体" w:hAnsi="宋体" w:eastAsia="宋体" w:cs="宋体"/>
          <w:color w:val="000000"/>
        </w:rPr>
        <w:t>“</w:t>
      </w:r>
      <w:r>
        <w:rPr>
          <w:rFonts w:ascii="楷体" w:hAnsi="楷体" w:eastAsia="楷体" w:cs="楷体"/>
          <w:color w:val="000000"/>
        </w:rPr>
        <w:t>圣约翰斯市旅游简图</w:t>
      </w:r>
      <w:r>
        <w:rPr>
          <w:rFonts w:ascii="宋体" w:hAnsi="宋体" w:eastAsia="宋体" w:cs="宋体"/>
          <w:color w:val="000000"/>
        </w:rPr>
        <w:t>”</w:t>
      </w:r>
      <w:r>
        <w:rPr>
          <w:rFonts w:ascii="楷体" w:hAnsi="楷体" w:eastAsia="楷体" w:cs="楷体"/>
          <w:color w:val="000000"/>
        </w:rPr>
        <w:t>。完成下面小题。</w:t>
      </w:r>
    </w:p>
    <w:p w14:paraId="1DF1E004">
      <w:pPr>
        <w:spacing w:line="360" w:lineRule="auto"/>
        <w:jc w:val="left"/>
        <w:textAlignment w:val="center"/>
        <w:rPr>
          <w:color w:val="000000"/>
        </w:rPr>
      </w:pPr>
      <w:r>
        <w:rPr>
          <w:color w:val="000000"/>
        </w:rPr>
        <w:drawing>
          <wp:inline distT="0" distB="0" distL="114300" distR="114300">
            <wp:extent cx="2362200" cy="184785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7"/>
                    <a:stretch>
                      <a:fillRect/>
                    </a:stretch>
                  </pic:blipFill>
                  <pic:spPr>
                    <a:xfrm>
                      <a:off x="0" y="0"/>
                      <a:ext cx="2362200" cy="1847850"/>
                    </a:xfrm>
                    <a:prstGeom prst="rect">
                      <a:avLst/>
                    </a:prstGeom>
                  </pic:spPr>
                </pic:pic>
              </a:graphicData>
            </a:graphic>
          </wp:inline>
        </w:drawing>
      </w:r>
    </w:p>
    <w:p w14:paraId="4D5E86CB">
      <w:pPr>
        <w:spacing w:line="360" w:lineRule="auto"/>
        <w:jc w:val="left"/>
        <w:textAlignment w:val="center"/>
        <w:rPr>
          <w:color w:val="000000"/>
        </w:rPr>
      </w:pPr>
      <w:r>
        <w:rPr>
          <w:color w:val="000000"/>
        </w:rPr>
        <w:t xml:space="preserve">4. </w:t>
      </w:r>
      <w:r>
        <w:rPr>
          <w:rFonts w:ascii="宋体" w:hAnsi="宋体" w:eastAsia="宋体" w:cs="宋体"/>
          <w:color w:val="000000"/>
        </w:rPr>
        <w:t>该图的指向标为（</w:t>
      </w:r>
      <w:r>
        <w:rPr>
          <w:rFonts w:ascii="Times New Roman" w:hAnsi="Times New Roman" w:eastAsia="Times New Roman" w:cs="Times New Roman"/>
          <w:color w:val="000000"/>
        </w:rPr>
        <w:t xml:space="preserve">   </w:t>
      </w:r>
      <w:r>
        <w:rPr>
          <w:rFonts w:ascii="宋体" w:hAnsi="宋体" w:eastAsia="宋体" w:cs="宋体"/>
          <w:color w:val="000000"/>
        </w:rPr>
        <w:t>）</w:t>
      </w:r>
    </w:p>
    <w:p w14:paraId="658D32A1">
      <w:pPr>
        <w:spacing w:line="360" w:lineRule="auto"/>
        <w:jc w:val="left"/>
        <w:textAlignment w:val="center"/>
        <w:rPr>
          <w:color w:val="000000"/>
        </w:rPr>
      </w:pPr>
      <w:r>
        <w:rPr>
          <w:color w:val="000000"/>
        </w:rPr>
        <w:drawing>
          <wp:inline distT="0" distB="0" distL="114300" distR="114300">
            <wp:extent cx="4705350" cy="10668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8"/>
                    <a:stretch>
                      <a:fillRect/>
                    </a:stretch>
                  </pic:blipFill>
                  <pic:spPr>
                    <a:xfrm>
                      <a:off x="0" y="0"/>
                      <a:ext cx="4705350" cy="1066800"/>
                    </a:xfrm>
                    <a:prstGeom prst="rect">
                      <a:avLst/>
                    </a:prstGeom>
                  </pic:spPr>
                </pic:pic>
              </a:graphicData>
            </a:graphic>
          </wp:inline>
        </w:drawing>
      </w:r>
    </w:p>
    <w:p w14:paraId="3F3FD37C">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w:t>
      </w:r>
      <w:r>
        <w:rPr>
          <w:color w:val="000000"/>
        </w:rPr>
        <w:tab/>
      </w:r>
      <w:r>
        <w:rPr>
          <w:color w:val="000000"/>
        </w:rPr>
        <w:t xml:space="preserve">B. </w:t>
      </w:r>
      <w:r>
        <w:rPr>
          <w:rFonts w:ascii="Times New Roman" w:hAnsi="Times New Roman" w:eastAsia="Times New Roman" w:cs="Times New Roman"/>
          <w:color w:val="000000"/>
        </w:rPr>
        <w:t>B</w:t>
      </w:r>
      <w:r>
        <w:rPr>
          <w:color w:val="000000"/>
        </w:rPr>
        <w:tab/>
      </w:r>
      <w:r>
        <w:rPr>
          <w:color w:val="000000"/>
        </w:rPr>
        <w:t xml:space="preserve">C. </w:t>
      </w:r>
      <w:r>
        <w:rPr>
          <w:rFonts w:ascii="Times New Roman" w:hAnsi="Times New Roman" w:eastAsia="Times New Roman" w:cs="Times New Roman"/>
          <w:color w:val="000000"/>
        </w:rPr>
        <w:t>C</w:t>
      </w:r>
      <w:r>
        <w:rPr>
          <w:color w:val="000000"/>
        </w:rPr>
        <w:tab/>
      </w:r>
      <w:r>
        <w:rPr>
          <w:color w:val="000000"/>
        </w:rPr>
        <w:t xml:space="preserve">D. </w:t>
      </w:r>
      <w:r>
        <w:rPr>
          <w:rFonts w:ascii="Times New Roman" w:hAnsi="Times New Roman" w:eastAsia="Times New Roman" w:cs="Times New Roman"/>
          <w:color w:val="000000"/>
        </w:rPr>
        <w:t>D</w:t>
      </w:r>
    </w:p>
    <w:p w14:paraId="178DD273">
      <w:pPr>
        <w:spacing w:line="360" w:lineRule="auto"/>
        <w:jc w:val="left"/>
        <w:textAlignment w:val="center"/>
        <w:rPr>
          <w:color w:val="000000"/>
        </w:rPr>
      </w:pPr>
      <w:r>
        <w:rPr>
          <w:color w:val="000000"/>
        </w:rPr>
        <w:t xml:space="preserve">5. </w:t>
      </w:r>
      <w:r>
        <w:rPr>
          <w:rFonts w:ascii="宋体" w:hAnsi="宋体" w:eastAsia="宋体" w:cs="宋体"/>
          <w:color w:val="000000"/>
        </w:rPr>
        <w:t>该图采用的指向方式，能够（</w:t>
      </w:r>
      <w:r>
        <w:rPr>
          <w:rFonts w:ascii="Times New Roman" w:hAnsi="Times New Roman" w:eastAsia="Times New Roman" w:cs="Times New Roman"/>
          <w:color w:val="000000"/>
        </w:rPr>
        <w:t xml:space="preserve">   </w:t>
      </w:r>
      <w:r>
        <w:rPr>
          <w:rFonts w:ascii="宋体" w:hAnsi="宋体" w:eastAsia="宋体" w:cs="宋体"/>
          <w:color w:val="000000"/>
        </w:rPr>
        <w:t>）</w:t>
      </w:r>
    </w:p>
    <w:p w14:paraId="2D28271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满足显示城市范围需要</w:t>
      </w:r>
      <w:r>
        <w:rPr>
          <w:color w:val="000000"/>
        </w:rPr>
        <w:tab/>
      </w:r>
      <w:r>
        <w:rPr>
          <w:color w:val="000000"/>
        </w:rPr>
        <w:t xml:space="preserve">B. </w:t>
      </w:r>
      <w:r>
        <w:rPr>
          <w:rFonts w:ascii="宋体" w:hAnsi="宋体" w:eastAsia="宋体" w:cs="宋体"/>
          <w:color w:val="000000"/>
        </w:rPr>
        <w:t>便于确定景点相对位置</w:t>
      </w:r>
    </w:p>
    <w:p w14:paraId="2127D9F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增加测量距离的准确性</w:t>
      </w:r>
      <w:r>
        <w:rPr>
          <w:color w:val="000000"/>
        </w:rPr>
        <w:tab/>
      </w:r>
      <w:r>
        <w:rPr>
          <w:color w:val="000000"/>
        </w:rPr>
        <w:t xml:space="preserve">D. </w:t>
      </w:r>
      <w:r>
        <w:rPr>
          <w:rFonts w:ascii="宋体" w:hAnsi="宋体" w:eastAsia="宋体" w:cs="宋体"/>
          <w:color w:val="000000"/>
        </w:rPr>
        <w:t>提高交通线路的可读性</w:t>
      </w:r>
    </w:p>
    <w:p w14:paraId="3F681A8B">
      <w:pPr>
        <w:spacing w:line="360" w:lineRule="auto"/>
        <w:jc w:val="left"/>
        <w:textAlignment w:val="center"/>
        <w:rPr>
          <w:color w:val="000000"/>
        </w:rPr>
      </w:pPr>
      <w:r>
        <w:rPr>
          <w:color w:val="000000"/>
        </w:rPr>
        <w:t xml:space="preserve">6. </w:t>
      </w:r>
      <w:r>
        <w:rPr>
          <w:rFonts w:ascii="宋体" w:hAnsi="宋体" w:eastAsia="宋体" w:cs="宋体"/>
          <w:color w:val="000000"/>
        </w:rPr>
        <w:t>该类地图的设计方式常见于（</w:t>
      </w:r>
      <w:r>
        <w:rPr>
          <w:rFonts w:ascii="Times New Roman" w:hAnsi="Times New Roman" w:eastAsia="Times New Roman" w:cs="Times New Roman"/>
          <w:color w:val="000000"/>
        </w:rPr>
        <w:t xml:space="preserve">   </w:t>
      </w:r>
      <w:r>
        <w:rPr>
          <w:rFonts w:ascii="宋体" w:hAnsi="宋体" w:eastAsia="宋体" w:cs="宋体"/>
          <w:color w:val="000000"/>
        </w:rPr>
        <w:t>）</w:t>
      </w:r>
    </w:p>
    <w:p w14:paraId="75F6FC7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房产区位图</w:t>
      </w:r>
      <w:r>
        <w:rPr>
          <w:color w:val="000000"/>
        </w:rPr>
        <w:tab/>
      </w:r>
      <w:r>
        <w:rPr>
          <w:color w:val="000000"/>
        </w:rPr>
        <w:t xml:space="preserve">B. </w:t>
      </w:r>
      <w:r>
        <w:rPr>
          <w:rFonts w:ascii="宋体" w:hAnsi="宋体" w:eastAsia="宋体" w:cs="宋体"/>
          <w:color w:val="000000"/>
        </w:rPr>
        <w:t>世界航海图</w:t>
      </w:r>
      <w:r>
        <w:rPr>
          <w:color w:val="000000"/>
        </w:rPr>
        <w:tab/>
      </w:r>
      <w:r>
        <w:rPr>
          <w:color w:val="000000"/>
        </w:rPr>
        <w:t xml:space="preserve">C. </w:t>
      </w:r>
      <w:r>
        <w:rPr>
          <w:rFonts w:ascii="宋体" w:hAnsi="宋体" w:eastAsia="宋体" w:cs="宋体"/>
          <w:color w:val="000000"/>
        </w:rPr>
        <w:t>国家政区图</w:t>
      </w:r>
      <w:r>
        <w:rPr>
          <w:color w:val="000000"/>
        </w:rPr>
        <w:tab/>
      </w:r>
      <w:r>
        <w:rPr>
          <w:color w:val="000000"/>
        </w:rPr>
        <w:t xml:space="preserve">D. </w:t>
      </w:r>
      <w:r>
        <w:rPr>
          <w:rFonts w:ascii="宋体" w:hAnsi="宋体" w:eastAsia="宋体" w:cs="宋体"/>
          <w:color w:val="000000"/>
        </w:rPr>
        <w:t>气象预报图</w:t>
      </w:r>
    </w:p>
    <w:p w14:paraId="3C788610">
      <w:pPr>
        <w:spacing w:line="360" w:lineRule="auto"/>
        <w:textAlignment w:val="center"/>
        <w:rPr>
          <w:color w:val="000000"/>
        </w:rPr>
      </w:pPr>
      <w:r>
        <w:rPr>
          <w:color w:val="2E75B6"/>
        </w:rPr>
        <w:t>【答案】</w:t>
      </w:r>
      <w:r>
        <w:rPr>
          <w:color w:val="000000"/>
        </w:rPr>
        <w:t>4. B    5. B    6. A</w:t>
      </w:r>
    </w:p>
    <w:p w14:paraId="3DC50C0D">
      <w:pPr>
        <w:spacing w:line="360" w:lineRule="auto"/>
        <w:textAlignment w:val="center"/>
        <w:rPr>
          <w:color w:val="000000"/>
        </w:rPr>
      </w:pPr>
      <w:r>
        <w:rPr>
          <w:color w:val="2E75B6"/>
        </w:rPr>
        <w:t>【解析】</w:t>
      </w:r>
    </w:p>
    <w:p w14:paraId="1B59058B">
      <w:pPr>
        <w:spacing w:line="360" w:lineRule="auto"/>
        <w:textAlignment w:val="center"/>
        <w:rPr>
          <w:color w:val="000000"/>
        </w:rPr>
      </w:pPr>
      <w:r>
        <w:rPr>
          <w:color w:val="000000"/>
        </w:rPr>
        <w:t>【4题详解】</w:t>
      </w:r>
    </w:p>
    <w:p w14:paraId="2CF0C41A">
      <w:pPr>
        <w:spacing w:line="360" w:lineRule="auto"/>
        <w:jc w:val="left"/>
        <w:textAlignment w:val="center"/>
        <w:rPr>
          <w:color w:val="000000"/>
        </w:rPr>
      </w:pPr>
      <w:r>
        <w:rPr>
          <w:rFonts w:ascii="宋体" w:hAnsi="宋体" w:eastAsia="宋体" w:cs="宋体"/>
          <w:color w:val="000000"/>
        </w:rPr>
        <w:t>据材料“加拿大最东端的斯比尔角被称为‘加拿大东极’”可知，加拿大东极位于正东方，与图B东方指向一致，故该图的指向标为图B，B正确，ACD错误。故选B。</w:t>
      </w:r>
    </w:p>
    <w:p w14:paraId="047EBFAF">
      <w:pPr>
        <w:spacing w:line="360" w:lineRule="auto"/>
        <w:jc w:val="left"/>
        <w:textAlignment w:val="center"/>
        <w:rPr>
          <w:color w:val="000000"/>
        </w:rPr>
      </w:pPr>
      <w:r>
        <w:rPr>
          <w:color w:val="000000"/>
        </w:rPr>
        <w:t>【5题详解】</w:t>
      </w:r>
    </w:p>
    <w:p w14:paraId="15E8DB73">
      <w:pPr>
        <w:spacing w:line="360" w:lineRule="auto"/>
        <w:jc w:val="left"/>
        <w:textAlignment w:val="center"/>
        <w:rPr>
          <w:color w:val="000000"/>
        </w:rPr>
      </w:pPr>
      <w:r>
        <w:rPr>
          <w:rFonts w:ascii="宋体" w:hAnsi="宋体" w:eastAsia="宋体" w:cs="宋体"/>
          <w:color w:val="000000"/>
        </w:rPr>
        <w:t>地图指向标的核心作用是明确方向，帮助判断各元素的相对位置。城市范围由地图比例尺和图幅决定，与指向标无关，A错误。旅游简图的特点是聚焦特定区域（如城市、景区），突出景点分布和相对位置，指向标可辅助游客判断景点之间的方位关系（如某景点在另一景点的东北方向），符合旅游地图的实用需求，B正确。距离测量依赖比例尺，而非指向标，C错误。交通线路的可读性取决于图例、线条清晰度等，与指向标无直接关联，D错误。故选B。</w:t>
      </w:r>
    </w:p>
    <w:p w14:paraId="25EB2445">
      <w:pPr>
        <w:spacing w:line="360" w:lineRule="auto"/>
        <w:jc w:val="left"/>
        <w:textAlignment w:val="center"/>
        <w:rPr>
          <w:color w:val="000000"/>
        </w:rPr>
      </w:pPr>
      <w:r>
        <w:rPr>
          <w:color w:val="000000"/>
        </w:rPr>
        <w:t>【6题详解】</w:t>
      </w:r>
    </w:p>
    <w:p w14:paraId="03D252E1">
      <w:pPr>
        <w:spacing w:line="360" w:lineRule="auto"/>
        <w:jc w:val="left"/>
        <w:textAlignment w:val="center"/>
        <w:rPr>
          <w:color w:val="000000"/>
        </w:rPr>
      </w:pPr>
      <w:r>
        <w:rPr>
          <w:rFonts w:ascii="宋体" w:hAnsi="宋体" w:eastAsia="宋体" w:cs="宋体"/>
          <w:color w:val="000000"/>
        </w:rPr>
        <w:t>房产区位图需展示楼盘位置、周边配套（如学校、交通）的相对方位，常使用指向标和简化图例，A正确。世界航海图侧重航海路线、水深等专业信息，采用经纬网定位，而非简单指向标，B错误。国家政区图以行政区划边界、城市分布为主，比例尺较小，指向标非核心要素，C错误。气象预报图侧重天气系统、气压等数据，通常无指向标，而是用图例表示气象要素，D错误。故选A。</w:t>
      </w:r>
    </w:p>
    <w:p w14:paraId="27BC9D15">
      <w:pPr>
        <w:spacing w:line="360" w:lineRule="auto"/>
        <w:jc w:val="left"/>
        <w:textAlignment w:val="center"/>
        <w:rPr>
          <w:color w:val="000000"/>
        </w:rPr>
      </w:pPr>
      <w:r>
        <w:rPr>
          <w:color w:val="000000"/>
        </w:rPr>
        <w:t>【点睛】</w:t>
      </w:r>
      <w:r>
        <w:rPr>
          <w:rFonts w:ascii="宋体" w:hAnsi="宋体" w:eastAsia="宋体" w:cs="宋体"/>
          <w:color w:val="000000"/>
        </w:rPr>
        <w:t>地图的三要素是方向、比例尺、图例和注记，这三者是地图的语言核心，确保信息传递的准确性和规范性。</w:t>
      </w:r>
    </w:p>
    <w:p w14:paraId="194B31C5">
      <w:pPr>
        <w:spacing w:line="360" w:lineRule="auto"/>
        <w:ind w:firstLine="420"/>
        <w:jc w:val="left"/>
        <w:textAlignment w:val="center"/>
        <w:rPr>
          <w:color w:val="000000"/>
        </w:rPr>
      </w:pPr>
      <w:r>
        <w:rPr>
          <w:rFonts w:ascii="楷体" w:hAnsi="楷体" w:eastAsia="楷体" w:cs="楷体"/>
          <w:color w:val="000000"/>
        </w:rPr>
        <w:t>由于植物适应荒漠环境的方式不同，共根系差别很大，下图为“荒漠土壤剖面及植物根系示意图”，完成下面小题。</w:t>
      </w:r>
    </w:p>
    <w:p w14:paraId="31491C6D">
      <w:pPr>
        <w:spacing w:line="360" w:lineRule="auto"/>
        <w:jc w:val="left"/>
        <w:textAlignment w:val="center"/>
        <w:rPr>
          <w:color w:val="000000"/>
        </w:rPr>
      </w:pPr>
      <w:r>
        <w:rPr>
          <w:color w:val="000000"/>
        </w:rPr>
        <w:drawing>
          <wp:inline distT="0" distB="0" distL="114300" distR="114300">
            <wp:extent cx="2381250" cy="208597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9"/>
                    <a:stretch>
                      <a:fillRect/>
                    </a:stretch>
                  </pic:blipFill>
                  <pic:spPr>
                    <a:xfrm>
                      <a:off x="0" y="0"/>
                      <a:ext cx="2381250" cy="2085975"/>
                    </a:xfrm>
                    <a:prstGeom prst="rect">
                      <a:avLst/>
                    </a:prstGeom>
                  </pic:spPr>
                </pic:pic>
              </a:graphicData>
            </a:graphic>
          </wp:inline>
        </w:drawing>
      </w:r>
    </w:p>
    <w:p w14:paraId="16FE36BD">
      <w:pPr>
        <w:spacing w:line="360" w:lineRule="auto"/>
        <w:jc w:val="left"/>
        <w:textAlignment w:val="center"/>
        <w:rPr>
          <w:color w:val="000000"/>
        </w:rPr>
      </w:pPr>
      <w:r>
        <w:rPr>
          <w:color w:val="000000"/>
        </w:rPr>
        <w:t xml:space="preserve">7. </w:t>
      </w:r>
      <w:r>
        <w:rPr>
          <w:rFonts w:ascii="宋体" w:hAnsi="宋体" w:eastAsia="宋体" w:cs="宋体"/>
          <w:color w:val="000000"/>
        </w:rPr>
        <w:t>在图示荒漠土壤中，可溶性盐积聚的过程是（</w:t>
      </w:r>
      <w:r>
        <w:rPr>
          <w:rFonts w:ascii="Times New Roman" w:hAnsi="Times New Roman" w:eastAsia="Times New Roman" w:cs="Times New Roman"/>
          <w:color w:val="000000"/>
        </w:rPr>
        <w:t xml:space="preserve">   </w:t>
      </w:r>
      <w:r>
        <w:rPr>
          <w:rFonts w:ascii="宋体" w:hAnsi="宋体" w:eastAsia="宋体" w:cs="宋体"/>
          <w:color w:val="000000"/>
        </w:rPr>
        <w:t>）</w:t>
      </w:r>
    </w:p>
    <w:p w14:paraId="4BCDE5C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生物作用</w:t>
      </w:r>
      <w:r>
        <w:rPr>
          <w:color w:val="000000"/>
        </w:rPr>
        <w:tab/>
      </w:r>
      <w:r>
        <w:rPr>
          <w:color w:val="000000"/>
        </w:rPr>
        <w:t xml:space="preserve">B. </w:t>
      </w:r>
      <w:r>
        <w:rPr>
          <w:rFonts w:ascii="宋体" w:hAnsi="宋体" w:eastAsia="宋体" w:cs="宋体"/>
          <w:color w:val="000000"/>
        </w:rPr>
        <w:t>淀积作用</w:t>
      </w:r>
      <w:r>
        <w:rPr>
          <w:color w:val="000000"/>
        </w:rPr>
        <w:tab/>
      </w:r>
      <w:r>
        <w:rPr>
          <w:color w:val="000000"/>
        </w:rPr>
        <w:t xml:space="preserve">C. </w:t>
      </w:r>
      <w:r>
        <w:rPr>
          <w:rFonts w:ascii="宋体" w:hAnsi="宋体" w:eastAsia="宋体" w:cs="宋体"/>
          <w:color w:val="000000"/>
        </w:rPr>
        <w:t>风积作用</w:t>
      </w:r>
      <w:r>
        <w:rPr>
          <w:color w:val="000000"/>
        </w:rPr>
        <w:tab/>
      </w:r>
      <w:r>
        <w:rPr>
          <w:color w:val="000000"/>
        </w:rPr>
        <w:t xml:space="preserve">D. </w:t>
      </w:r>
      <w:r>
        <w:rPr>
          <w:rFonts w:ascii="宋体" w:hAnsi="宋体" w:eastAsia="宋体" w:cs="宋体"/>
          <w:color w:val="000000"/>
        </w:rPr>
        <w:t>溶蚀作用</w:t>
      </w:r>
    </w:p>
    <w:p w14:paraId="49204CE3">
      <w:pPr>
        <w:spacing w:line="360" w:lineRule="auto"/>
        <w:jc w:val="left"/>
        <w:textAlignment w:val="center"/>
        <w:rPr>
          <w:color w:val="000000"/>
        </w:rPr>
      </w:pPr>
      <w:r>
        <w:rPr>
          <w:color w:val="000000"/>
        </w:rPr>
        <w:t xml:space="preserve">8. </w:t>
      </w:r>
      <w:r>
        <w:rPr>
          <w:rFonts w:ascii="宋体" w:hAnsi="宋体" w:eastAsia="宋体" w:cs="宋体"/>
          <w:color w:val="000000"/>
        </w:rPr>
        <w:t>根系较小的肉质植物，不同于其他荒漠植物适应环境的方式是（</w:t>
      </w:r>
      <w:r>
        <w:rPr>
          <w:rFonts w:ascii="Times New Roman" w:hAnsi="Times New Roman" w:eastAsia="Times New Roman" w:cs="Times New Roman"/>
          <w:color w:val="000000"/>
        </w:rPr>
        <w:t xml:space="preserve">   </w:t>
      </w:r>
      <w:r>
        <w:rPr>
          <w:rFonts w:ascii="宋体" w:hAnsi="宋体" w:eastAsia="宋体" w:cs="宋体"/>
          <w:color w:val="000000"/>
        </w:rPr>
        <w:t>）</w:t>
      </w:r>
    </w:p>
    <w:p w14:paraId="14C6342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营养器官储水</w:t>
      </w:r>
      <w:r>
        <w:rPr>
          <w:color w:val="000000"/>
        </w:rPr>
        <w:tab/>
      </w:r>
      <w:r>
        <w:rPr>
          <w:color w:val="000000"/>
        </w:rPr>
        <w:t xml:space="preserve">B. </w:t>
      </w:r>
      <w:r>
        <w:rPr>
          <w:rFonts w:ascii="宋体" w:hAnsi="宋体" w:eastAsia="宋体" w:cs="宋体"/>
          <w:color w:val="000000"/>
        </w:rPr>
        <w:t>枝叶演化成刺</w:t>
      </w:r>
      <w:r>
        <w:rPr>
          <w:color w:val="000000"/>
        </w:rPr>
        <w:tab/>
      </w:r>
      <w:r>
        <w:rPr>
          <w:color w:val="000000"/>
        </w:rPr>
        <w:t xml:space="preserve">C. </w:t>
      </w:r>
      <w:r>
        <w:rPr>
          <w:rFonts w:ascii="宋体" w:hAnsi="宋体" w:eastAsia="宋体" w:cs="宋体"/>
          <w:color w:val="000000"/>
        </w:rPr>
        <w:t>干旱季节休眠</w:t>
      </w:r>
      <w:r>
        <w:rPr>
          <w:color w:val="000000"/>
        </w:rPr>
        <w:tab/>
      </w:r>
      <w:r>
        <w:rPr>
          <w:color w:val="000000"/>
        </w:rPr>
        <w:t xml:space="preserve">D. </w:t>
      </w:r>
      <w:r>
        <w:rPr>
          <w:rFonts w:ascii="宋体" w:hAnsi="宋体" w:eastAsia="宋体" w:cs="宋体"/>
          <w:color w:val="000000"/>
        </w:rPr>
        <w:t>叶片具蜡质层</w:t>
      </w:r>
    </w:p>
    <w:p w14:paraId="29EBE245">
      <w:pPr>
        <w:spacing w:line="360" w:lineRule="auto"/>
        <w:jc w:val="left"/>
        <w:textAlignment w:val="center"/>
        <w:rPr>
          <w:color w:val="000000"/>
        </w:rPr>
      </w:pPr>
      <w:r>
        <w:rPr>
          <w:color w:val="000000"/>
        </w:rPr>
        <w:t xml:space="preserve">9. </w:t>
      </w:r>
      <w:r>
        <w:rPr>
          <w:rFonts w:ascii="宋体" w:hAnsi="宋体" w:eastAsia="宋体" w:cs="宋体"/>
          <w:color w:val="000000"/>
        </w:rPr>
        <w:t>与阿拉伯半岛的荒漠植物相比，我国塔里木盆地的荒漠植物更（</w:t>
      </w:r>
      <w:r>
        <w:rPr>
          <w:rFonts w:ascii="Times New Roman" w:hAnsi="Times New Roman" w:eastAsia="Times New Roman" w:cs="Times New Roman"/>
          <w:color w:val="000000"/>
        </w:rPr>
        <w:t xml:space="preserve">   </w:t>
      </w:r>
      <w:r>
        <w:rPr>
          <w:rFonts w:ascii="宋体" w:hAnsi="宋体" w:eastAsia="宋体" w:cs="宋体"/>
          <w:color w:val="000000"/>
        </w:rPr>
        <w:t>）</w:t>
      </w:r>
    </w:p>
    <w:p w14:paraId="318FD7E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耐盐</w:t>
      </w:r>
      <w:r>
        <w:rPr>
          <w:color w:val="000000"/>
        </w:rPr>
        <w:tab/>
      </w:r>
      <w:r>
        <w:rPr>
          <w:color w:val="000000"/>
        </w:rPr>
        <w:t xml:space="preserve">B. </w:t>
      </w:r>
      <w:r>
        <w:rPr>
          <w:rFonts w:ascii="宋体" w:hAnsi="宋体" w:eastAsia="宋体" w:cs="宋体"/>
          <w:color w:val="000000"/>
        </w:rPr>
        <w:t>耐旱</w:t>
      </w:r>
      <w:r>
        <w:rPr>
          <w:color w:val="000000"/>
        </w:rPr>
        <w:tab/>
      </w:r>
      <w:r>
        <w:rPr>
          <w:color w:val="000000"/>
        </w:rPr>
        <w:t xml:space="preserve">C. </w:t>
      </w:r>
      <w:r>
        <w:rPr>
          <w:rFonts w:ascii="宋体" w:hAnsi="宋体" w:eastAsia="宋体" w:cs="宋体"/>
          <w:color w:val="000000"/>
        </w:rPr>
        <w:t>耐寒</w:t>
      </w:r>
      <w:r>
        <w:rPr>
          <w:color w:val="000000"/>
        </w:rPr>
        <w:tab/>
      </w:r>
      <w:r>
        <w:rPr>
          <w:color w:val="000000"/>
        </w:rPr>
        <w:t xml:space="preserve">D. </w:t>
      </w:r>
      <w:r>
        <w:rPr>
          <w:rFonts w:ascii="宋体" w:hAnsi="宋体" w:eastAsia="宋体" w:cs="宋体"/>
          <w:color w:val="000000"/>
        </w:rPr>
        <w:t>耐热</w:t>
      </w:r>
    </w:p>
    <w:p w14:paraId="4BC95DF6">
      <w:pPr>
        <w:spacing w:line="360" w:lineRule="auto"/>
        <w:textAlignment w:val="center"/>
        <w:rPr>
          <w:color w:val="000000"/>
        </w:rPr>
      </w:pPr>
      <w:r>
        <w:rPr>
          <w:color w:val="2E75B6"/>
        </w:rPr>
        <w:t>【答案】</w:t>
      </w:r>
      <w:r>
        <w:rPr>
          <w:color w:val="000000"/>
        </w:rPr>
        <w:t>7. A    8. A    9. C</w:t>
      </w:r>
    </w:p>
    <w:p w14:paraId="1D4D3B2B">
      <w:pPr>
        <w:spacing w:line="360" w:lineRule="auto"/>
        <w:textAlignment w:val="center"/>
        <w:rPr>
          <w:color w:val="000000"/>
        </w:rPr>
      </w:pPr>
      <w:r>
        <w:rPr>
          <w:color w:val="2E75B6"/>
        </w:rPr>
        <w:t>【解析】</w:t>
      </w:r>
    </w:p>
    <w:p w14:paraId="2FE7302D">
      <w:pPr>
        <w:spacing w:line="360" w:lineRule="auto"/>
        <w:textAlignment w:val="center"/>
        <w:rPr>
          <w:color w:val="000000"/>
        </w:rPr>
      </w:pPr>
      <w:r>
        <w:rPr>
          <w:color w:val="000000"/>
        </w:rPr>
        <w:t>【7题详解】</w:t>
      </w:r>
    </w:p>
    <w:p w14:paraId="4CA4F31A">
      <w:pPr>
        <w:spacing w:line="360" w:lineRule="auto"/>
        <w:jc w:val="left"/>
        <w:textAlignment w:val="center"/>
        <w:rPr>
          <w:color w:val="000000"/>
        </w:rPr>
      </w:pPr>
      <w:r>
        <w:rPr>
          <w:color w:val="000000"/>
        </w:rPr>
        <w:t>荒漠地区的植物，通过根系从土壤吸收分散的水分、盐分、各种营养元素后，其残骸被分解，形成的可溶性盐返回土壤中，故促进可溶性盐积聚的过程是生物作用，A正确；地表水下渗过程中土壤淋失的矿物质向下运移，在淀积层沉淀、积累，但荒漠土壤分布区，气候干旱，蒸发旺盛，土壤中水分缺乏，不易发生淀积作用，B错误；溶蚀作用也需要大量水的参与，D错误；可溶性盐积聚需要借助流水和生物，风积作用不能促进可溶性盐积聚，C错误。故选A。</w:t>
      </w:r>
    </w:p>
    <w:p w14:paraId="2F18C2A2">
      <w:pPr>
        <w:spacing w:line="360" w:lineRule="auto"/>
        <w:jc w:val="left"/>
        <w:textAlignment w:val="center"/>
        <w:rPr>
          <w:color w:val="000000"/>
        </w:rPr>
      </w:pPr>
      <w:r>
        <w:rPr>
          <w:color w:val="000000"/>
        </w:rPr>
        <w:t>【8题详解】</w:t>
      </w:r>
    </w:p>
    <w:p w14:paraId="36B4084D">
      <w:pPr>
        <w:spacing w:line="360" w:lineRule="auto"/>
        <w:jc w:val="left"/>
        <w:textAlignment w:val="center"/>
        <w:rPr>
          <w:color w:val="000000"/>
        </w:rPr>
      </w:pPr>
      <w:r>
        <w:rPr>
          <w:rFonts w:ascii="宋体" w:hAnsi="宋体" w:eastAsia="宋体" w:cs="宋体"/>
          <w:color w:val="000000"/>
        </w:rPr>
        <w:t>根系较小的肉质植物，</w:t>
      </w:r>
      <w:r>
        <w:rPr>
          <w:color w:val="000000"/>
        </w:rPr>
        <w:t>茎叶肉质，是具有肥厚贮水组织的营养器官，枝叶演化成刺，主要是为了减少蒸腾，但不能贮水，不是肉质植物的突出特征，A正确，B错误；其他荒漠植物也会通过干旱季节休眠来适应环境，叶片也可能具有蜡质层，叶片具有蜡质层主要是为了减少蒸腾，CD均不是肉质植物独特的适应环境的方式，CD错误。故选A。</w:t>
      </w:r>
    </w:p>
    <w:p w14:paraId="6FF7D9BF">
      <w:pPr>
        <w:spacing w:line="360" w:lineRule="auto"/>
        <w:jc w:val="left"/>
        <w:textAlignment w:val="center"/>
        <w:rPr>
          <w:color w:val="000000"/>
        </w:rPr>
      </w:pPr>
      <w:r>
        <w:rPr>
          <w:color w:val="000000"/>
        </w:rPr>
        <w:t>【9题详解】</w:t>
      </w:r>
    </w:p>
    <w:p w14:paraId="03DD5489">
      <w:pPr>
        <w:spacing w:line="360" w:lineRule="auto"/>
        <w:jc w:val="left"/>
        <w:textAlignment w:val="center"/>
        <w:rPr>
          <w:color w:val="000000"/>
        </w:rPr>
      </w:pPr>
      <w:r>
        <w:rPr>
          <w:color w:val="000000"/>
        </w:rPr>
        <w:t>与阿拉伯半岛相比，我国塔里木盆地纬度更高，冬季温度更低，故我国塔里木盆地的荒漠植物更耐寒，阿拉伯半岛的荒漠植物更耐热，C正确，D错误；两地的自然环境都具有干旱、土壤盐碱含量高的特征，两地的荒漠植物在耐旱、耐盐方面差异较小，AB错误。故选C。</w:t>
      </w:r>
    </w:p>
    <w:p w14:paraId="428BEDB2">
      <w:pPr>
        <w:spacing w:line="360" w:lineRule="auto"/>
        <w:jc w:val="left"/>
        <w:textAlignment w:val="center"/>
        <w:rPr>
          <w:color w:val="000000"/>
        </w:rPr>
      </w:pPr>
      <w:r>
        <w:rPr>
          <w:color w:val="000000"/>
        </w:rPr>
        <w:t>【点睛】多肉植物是指植物的根、茎、叶三种营养器官中至少有一种是肥厚多汁并且具备储藏大量水分功能的植物。其至少具有一种肉质组织，这种组织是一种活组织，除其他功能外，它能储藏可利用的水，在土壤含水状况恶化、植物根系不能再从土壤中吸收和提供必要的水分时，它能使植物暂时脱离外界水分供应而独立生存。</w:t>
      </w:r>
    </w:p>
    <w:p w14:paraId="010DA637">
      <w:pPr>
        <w:spacing w:line="360" w:lineRule="auto"/>
        <w:ind w:firstLine="420"/>
        <w:jc w:val="left"/>
        <w:textAlignment w:val="center"/>
        <w:rPr>
          <w:color w:val="000000"/>
        </w:rPr>
      </w:pPr>
      <w:r>
        <w:rPr>
          <w:rFonts w:ascii="楷体" w:hAnsi="楷体" w:eastAsia="楷体" w:cs="楷体"/>
          <w:color w:val="000000"/>
        </w:rPr>
        <w:t>下图为某地地质剖面图，据此完成下面小题。</w:t>
      </w:r>
    </w:p>
    <w:p w14:paraId="65E66A4C">
      <w:pPr>
        <w:spacing w:line="360" w:lineRule="auto"/>
        <w:jc w:val="left"/>
        <w:textAlignment w:val="center"/>
        <w:rPr>
          <w:color w:val="000000"/>
        </w:rPr>
      </w:pPr>
      <w:r>
        <w:rPr>
          <w:color w:val="000000"/>
        </w:rPr>
        <w:drawing>
          <wp:inline distT="0" distB="0" distL="114300" distR="114300">
            <wp:extent cx="3038475" cy="198120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0"/>
                    <a:stretch>
                      <a:fillRect/>
                    </a:stretch>
                  </pic:blipFill>
                  <pic:spPr>
                    <a:xfrm>
                      <a:off x="0" y="0"/>
                      <a:ext cx="3038475" cy="1981200"/>
                    </a:xfrm>
                    <a:prstGeom prst="rect">
                      <a:avLst/>
                    </a:prstGeom>
                  </pic:spPr>
                </pic:pic>
              </a:graphicData>
            </a:graphic>
          </wp:inline>
        </w:drawing>
      </w:r>
    </w:p>
    <w:p w14:paraId="27A93AAF">
      <w:pPr>
        <w:spacing w:line="360" w:lineRule="auto"/>
        <w:jc w:val="left"/>
        <w:textAlignment w:val="center"/>
        <w:rPr>
          <w:color w:val="000000"/>
        </w:rPr>
      </w:pPr>
      <w:r>
        <w:rPr>
          <w:color w:val="000000"/>
        </w:rPr>
        <w:t xml:space="preserve">10. </w:t>
      </w:r>
      <w:r>
        <w:rPr>
          <w:rFonts w:ascii="宋体" w:hAnsi="宋体" w:eastAsia="宋体" w:cs="宋体"/>
          <w:color w:val="000000"/>
        </w:rPr>
        <w:t>推测该地最新的地质事件是（</w:t>
      </w:r>
      <w:r>
        <w:rPr>
          <w:rFonts w:ascii="Times New Roman" w:hAnsi="Times New Roman" w:eastAsia="Times New Roman" w:cs="Times New Roman"/>
          <w:color w:val="000000"/>
        </w:rPr>
        <w:t xml:space="preserve">   </w:t>
      </w:r>
      <w:r>
        <w:rPr>
          <w:rFonts w:ascii="宋体" w:hAnsi="宋体" w:eastAsia="宋体" w:cs="宋体"/>
          <w:color w:val="000000"/>
        </w:rPr>
        <w:t>）</w:t>
      </w:r>
    </w:p>
    <w:p w14:paraId="6891624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岩层褶皱</w:t>
      </w:r>
      <w:r>
        <w:rPr>
          <w:color w:val="000000"/>
        </w:rPr>
        <w:tab/>
      </w:r>
      <w:r>
        <w:rPr>
          <w:color w:val="000000"/>
        </w:rPr>
        <w:t xml:space="preserve">B. </w:t>
      </w:r>
      <w:r>
        <w:rPr>
          <w:rFonts w:ascii="宋体" w:hAnsi="宋体" w:eastAsia="宋体" w:cs="宋体"/>
          <w:color w:val="000000"/>
        </w:rPr>
        <w:t>地壳沉降</w:t>
      </w:r>
      <w:r>
        <w:rPr>
          <w:color w:val="000000"/>
        </w:rPr>
        <w:tab/>
      </w:r>
      <w:r>
        <w:rPr>
          <w:color w:val="000000"/>
        </w:rPr>
        <w:t xml:space="preserve">C. </w:t>
      </w:r>
      <w:r>
        <w:rPr>
          <w:rFonts w:ascii="宋体" w:hAnsi="宋体" w:eastAsia="宋体" w:cs="宋体"/>
          <w:color w:val="000000"/>
        </w:rPr>
        <w:t>岩层断裂</w:t>
      </w:r>
      <w:r>
        <w:rPr>
          <w:color w:val="000000"/>
        </w:rPr>
        <w:tab/>
      </w:r>
      <w:r>
        <w:rPr>
          <w:color w:val="000000"/>
        </w:rPr>
        <w:t xml:space="preserve">D. </w:t>
      </w:r>
      <w:r>
        <w:rPr>
          <w:rFonts w:ascii="宋体" w:hAnsi="宋体" w:eastAsia="宋体" w:cs="宋体"/>
          <w:color w:val="000000"/>
        </w:rPr>
        <w:t>岩浆侵入</w:t>
      </w:r>
    </w:p>
    <w:p w14:paraId="001335DA">
      <w:pPr>
        <w:spacing w:line="360" w:lineRule="auto"/>
        <w:jc w:val="left"/>
        <w:textAlignment w:val="center"/>
        <w:rPr>
          <w:color w:val="000000"/>
        </w:rPr>
      </w:pPr>
      <w:r>
        <w:rPr>
          <w:color w:val="000000"/>
        </w:rPr>
        <w:t xml:space="preserve">11. </w:t>
      </w:r>
      <w:r>
        <w:rPr>
          <w:rFonts w:ascii="宋体" w:hAnsi="宋体" w:eastAsia="宋体" w:cs="宋体"/>
          <w:color w:val="000000"/>
        </w:rPr>
        <w:t>图中背斜顶部容易被侵蚀的证据是其顶部（</w:t>
      </w:r>
      <w:r>
        <w:rPr>
          <w:rFonts w:ascii="Times New Roman" w:hAnsi="Times New Roman" w:eastAsia="Times New Roman" w:cs="Times New Roman"/>
          <w:color w:val="000000"/>
        </w:rPr>
        <w:t xml:space="preserve">   </w:t>
      </w:r>
      <w:r>
        <w:rPr>
          <w:rFonts w:ascii="宋体" w:hAnsi="宋体" w:eastAsia="宋体" w:cs="宋体"/>
          <w:color w:val="000000"/>
        </w:rPr>
        <w:t>）</w:t>
      </w:r>
    </w:p>
    <w:p w14:paraId="0E82528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更老地层曾出露</w:t>
      </w:r>
      <w:r>
        <w:rPr>
          <w:color w:val="000000"/>
        </w:rPr>
        <w:tab/>
      </w:r>
      <w:r>
        <w:rPr>
          <w:color w:val="000000"/>
        </w:rPr>
        <w:t xml:space="preserve">B. </w:t>
      </w:r>
      <w:r>
        <w:rPr>
          <w:rFonts w:ascii="宋体" w:hAnsi="宋体" w:eastAsia="宋体" w:cs="宋体"/>
          <w:color w:val="000000"/>
        </w:rPr>
        <w:t>存在断层</w:t>
      </w:r>
      <w:r>
        <w:rPr>
          <w:color w:val="000000"/>
        </w:rPr>
        <w:tab/>
      </w:r>
      <w:r>
        <w:rPr>
          <w:color w:val="000000"/>
        </w:rPr>
        <w:t xml:space="preserve">C. </w:t>
      </w:r>
      <w:r>
        <w:rPr>
          <w:rFonts w:ascii="宋体" w:hAnsi="宋体" w:eastAsia="宋体" w:cs="宋体"/>
          <w:color w:val="000000"/>
        </w:rPr>
        <w:t>存在岩浆的侵入</w:t>
      </w:r>
      <w:r>
        <w:rPr>
          <w:color w:val="000000"/>
        </w:rPr>
        <w:tab/>
      </w:r>
      <w:r>
        <w:rPr>
          <w:color w:val="000000"/>
        </w:rPr>
        <w:t xml:space="preserve">D. </w:t>
      </w:r>
      <w:r>
        <w:rPr>
          <w:rFonts w:ascii="宋体" w:hAnsi="宋体" w:eastAsia="宋体" w:cs="宋体"/>
          <w:color w:val="000000"/>
        </w:rPr>
        <w:t>岩性差异</w:t>
      </w:r>
    </w:p>
    <w:p w14:paraId="2B528C36">
      <w:pPr>
        <w:spacing w:line="360" w:lineRule="auto"/>
        <w:textAlignment w:val="center"/>
        <w:rPr>
          <w:color w:val="000000"/>
        </w:rPr>
      </w:pPr>
      <w:r>
        <w:rPr>
          <w:color w:val="2E75B6"/>
        </w:rPr>
        <w:t>【答案】</w:t>
      </w:r>
      <w:r>
        <w:rPr>
          <w:color w:val="000000"/>
        </w:rPr>
        <w:t>10. D    11. A</w:t>
      </w:r>
    </w:p>
    <w:p w14:paraId="4AE7E3B2">
      <w:pPr>
        <w:spacing w:line="360" w:lineRule="auto"/>
        <w:textAlignment w:val="center"/>
        <w:rPr>
          <w:color w:val="000000"/>
        </w:rPr>
      </w:pPr>
      <w:r>
        <w:rPr>
          <w:color w:val="2E75B6"/>
        </w:rPr>
        <w:t>【解析】</w:t>
      </w:r>
    </w:p>
    <w:p w14:paraId="508529FA">
      <w:pPr>
        <w:spacing w:line="360" w:lineRule="auto"/>
        <w:textAlignment w:val="center"/>
        <w:rPr>
          <w:color w:val="000000"/>
        </w:rPr>
      </w:pPr>
      <w:r>
        <w:rPr>
          <w:color w:val="000000"/>
        </w:rPr>
        <w:t>【10题详解】</w:t>
      </w:r>
    </w:p>
    <w:p w14:paraId="59BD1C97">
      <w:pPr>
        <w:spacing w:line="360" w:lineRule="auto"/>
        <w:jc w:val="left"/>
        <w:textAlignment w:val="center"/>
        <w:rPr>
          <w:color w:val="000000"/>
        </w:rPr>
      </w:pPr>
      <w:r>
        <w:rPr>
          <w:color w:val="000000"/>
        </w:rPr>
        <w:t>根据图示信息可知，该地水平岩层将弯曲岩层覆盖，侵入体将水平岩层和弯曲岩层打断，根据</w:t>
      </w:r>
      <w:r>
        <w:rPr>
          <w:rFonts w:ascii="宋体" w:hAnsi="宋体" w:eastAsia="宋体" w:cs="宋体"/>
          <w:color w:val="000000"/>
        </w:rPr>
        <w:t>“</w:t>
      </w:r>
      <w:r>
        <w:rPr>
          <w:color w:val="000000"/>
        </w:rPr>
        <w:t>谁被覆盖谁是老的、谁被打断谁是新的</w:t>
      </w:r>
      <w:r>
        <w:rPr>
          <w:rFonts w:ascii="宋体" w:hAnsi="宋体" w:eastAsia="宋体" w:cs="宋体"/>
          <w:color w:val="000000"/>
        </w:rPr>
        <w:t>”</w:t>
      </w:r>
      <w:r>
        <w:rPr>
          <w:color w:val="000000"/>
        </w:rPr>
        <w:t>的岩层新老关系判断法则，可知，岩浆侵入发生在最后。因此，最新的地质事件是岩浆侵入，D正确，ABC错误。故选D。</w:t>
      </w:r>
    </w:p>
    <w:p w14:paraId="5CFC6093">
      <w:pPr>
        <w:spacing w:line="360" w:lineRule="auto"/>
        <w:jc w:val="left"/>
        <w:textAlignment w:val="center"/>
        <w:rPr>
          <w:color w:val="000000"/>
        </w:rPr>
      </w:pPr>
      <w:r>
        <w:rPr>
          <w:color w:val="000000"/>
        </w:rPr>
        <w:t>【11题详解】</w:t>
      </w:r>
    </w:p>
    <w:p w14:paraId="7250AD1F">
      <w:pPr>
        <w:spacing w:line="360" w:lineRule="auto"/>
        <w:jc w:val="left"/>
        <w:textAlignment w:val="center"/>
        <w:rPr>
          <w:color w:val="000000"/>
        </w:rPr>
      </w:pPr>
      <w:r>
        <w:rPr>
          <w:color w:val="000000"/>
        </w:rPr>
        <w:t>根据所学知识可知，背斜顶部因受张力作用，岩层变得破碎，容易被侵蚀，导致下部更老的地层出露出来，说明背斜顶部容易被侵蚀，A正确；存在断层不是背斜顶部容易被侵蚀的原因，B错误；存在压降侵入不能反映背斜顶部易被侵蚀，C错误；背斜顶部的岩性与翼部没有差异，D错误。故选A。</w:t>
      </w:r>
    </w:p>
    <w:p w14:paraId="7C8EDDC7">
      <w:pPr>
        <w:spacing w:line="360" w:lineRule="auto"/>
        <w:jc w:val="left"/>
        <w:textAlignment w:val="center"/>
        <w:rPr>
          <w:color w:val="000000"/>
        </w:rPr>
      </w:pPr>
      <w:r>
        <w:rPr>
          <w:color w:val="000000"/>
        </w:rPr>
        <w:t>【点睛】在未受强烈构造变动的情况下，先形成的地层在下，后形成的地层叠覆其上，即上覆地层比下伏地层新‌。</w:t>
      </w:r>
    </w:p>
    <w:p w14:paraId="7269156A">
      <w:pPr>
        <w:spacing w:line="360" w:lineRule="auto"/>
        <w:ind w:firstLine="420"/>
        <w:jc w:val="left"/>
        <w:textAlignment w:val="center"/>
        <w:rPr>
          <w:color w:val="000000"/>
        </w:rPr>
      </w:pPr>
      <w:r>
        <w:rPr>
          <w:rFonts w:ascii="楷体" w:hAnsi="楷体" w:eastAsia="楷体" w:cs="楷体"/>
          <w:color w:val="000000"/>
        </w:rPr>
        <w:t>粮食安全是我国国家安全的重要组成部分、耕地资源是粮食安全的基础。近年来我国耕地面积发生了变化，并呈现出区域差异。下图为</w:t>
      </w:r>
      <w:r>
        <w:rPr>
          <w:rFonts w:ascii="Times New Roman" w:hAnsi="Times New Roman" w:eastAsia="Times New Roman" w:cs="Times New Roman"/>
          <w:color w:val="000000"/>
        </w:rPr>
        <w:t>2009</w:t>
      </w:r>
      <w:r>
        <w:rPr>
          <w:rFonts w:ascii="楷体" w:hAnsi="楷体" w:eastAsia="楷体" w:cs="楷体"/>
          <w:color w:val="000000"/>
        </w:rPr>
        <w:t>—</w:t>
      </w:r>
      <w:r>
        <w:rPr>
          <w:rFonts w:ascii="Times New Roman" w:hAnsi="Times New Roman" w:eastAsia="Times New Roman" w:cs="Times New Roman"/>
          <w:color w:val="000000"/>
        </w:rPr>
        <w:t>2019</w:t>
      </w:r>
      <w:r>
        <w:rPr>
          <w:rFonts w:ascii="楷体" w:hAnsi="楷体" w:eastAsia="楷体" w:cs="楷体"/>
          <w:color w:val="000000"/>
        </w:rPr>
        <w:t>年我国省级行政区耕地面积变化图。据此完成下面小题。</w:t>
      </w:r>
    </w:p>
    <w:p w14:paraId="21BDDE95">
      <w:pPr>
        <w:spacing w:line="360" w:lineRule="auto"/>
        <w:jc w:val="left"/>
        <w:textAlignment w:val="center"/>
        <w:rPr>
          <w:color w:val="000000"/>
        </w:rPr>
      </w:pPr>
      <w:r>
        <w:rPr>
          <w:color w:val="000000"/>
        </w:rPr>
        <w:drawing>
          <wp:inline distT="0" distB="0" distL="114300" distR="114300">
            <wp:extent cx="3362325" cy="247650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3362325" cy="2476500"/>
                    </a:xfrm>
                    <a:prstGeom prst="rect">
                      <a:avLst/>
                    </a:prstGeom>
                  </pic:spPr>
                </pic:pic>
              </a:graphicData>
            </a:graphic>
          </wp:inline>
        </w:drawing>
      </w:r>
    </w:p>
    <w:p w14:paraId="79734013">
      <w:pPr>
        <w:spacing w:line="360" w:lineRule="auto"/>
        <w:jc w:val="left"/>
        <w:textAlignment w:val="center"/>
        <w:rPr>
          <w:color w:val="000000"/>
        </w:rPr>
      </w:pPr>
      <w:r>
        <w:rPr>
          <w:color w:val="000000"/>
        </w:rPr>
        <w:t xml:space="preserve">12. </w:t>
      </w:r>
      <w:r>
        <w:rPr>
          <w:rFonts w:ascii="Times New Roman" w:hAnsi="Times New Roman" w:eastAsia="Times New Roman" w:cs="Times New Roman"/>
          <w:color w:val="000000"/>
        </w:rPr>
        <w:t>2009</w:t>
      </w:r>
      <w:r>
        <w:rPr>
          <w:rFonts w:ascii="宋体" w:hAnsi="宋体" w:eastAsia="宋体" w:cs="宋体"/>
          <w:color w:val="000000"/>
        </w:rPr>
        <w:t>—</w:t>
      </w:r>
      <w:r>
        <w:rPr>
          <w:rFonts w:ascii="Times New Roman" w:hAnsi="Times New Roman" w:eastAsia="Times New Roman" w:cs="Times New Roman"/>
          <w:color w:val="000000"/>
        </w:rPr>
        <w:t>2019</w:t>
      </w:r>
      <w:r>
        <w:rPr>
          <w:rFonts w:ascii="宋体" w:hAnsi="宋体" w:eastAsia="宋体" w:cs="宋体"/>
          <w:color w:val="000000"/>
        </w:rPr>
        <w:t>年我国省级行政区耕地面积的增加与减少，呈现明显的区域差异格局，大致的划分界线是（</w:t>
      </w:r>
      <w:r>
        <w:rPr>
          <w:rFonts w:ascii="Times New Roman" w:hAnsi="Times New Roman" w:eastAsia="Times New Roman" w:cs="Times New Roman"/>
          <w:color w:val="000000"/>
        </w:rPr>
        <w:t xml:space="preserve">   </w:t>
      </w:r>
      <w:r>
        <w:rPr>
          <w:rFonts w:ascii="宋体" w:hAnsi="宋体" w:eastAsia="宋体" w:cs="宋体"/>
          <w:color w:val="000000"/>
        </w:rPr>
        <w:t>）</w:t>
      </w:r>
    </w:p>
    <w:p w14:paraId="23E3B282">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110</w:t>
      </w:r>
      <w:r>
        <w:rPr>
          <w:rFonts w:ascii="宋体" w:hAnsi="宋体" w:eastAsia="宋体" w:cs="宋体"/>
          <w:color w:val="000000"/>
        </w:rPr>
        <w:t>°</w:t>
      </w:r>
      <w:r>
        <w:rPr>
          <w:rFonts w:ascii="Times New Roman" w:hAnsi="Times New Roman" w:eastAsia="Times New Roman" w:cs="Times New Roman"/>
          <w:color w:val="000000"/>
        </w:rPr>
        <w:t>E</w:t>
      </w:r>
      <w:r>
        <w:rPr>
          <w:rFonts w:ascii="宋体" w:hAnsi="宋体" w:eastAsia="宋体" w:cs="宋体"/>
          <w:color w:val="000000"/>
        </w:rPr>
        <w:t>经线</w:t>
      </w:r>
      <w:r>
        <w:rPr>
          <w:color w:val="000000"/>
        </w:rPr>
        <w:tab/>
      </w:r>
      <w:r>
        <w:rPr>
          <w:color w:val="000000"/>
        </w:rPr>
        <w:t xml:space="preserve">B. </w:t>
      </w:r>
      <w:r>
        <w:rPr>
          <w:rFonts w:ascii="Times New Roman" w:hAnsi="Times New Roman" w:eastAsia="Times New Roman" w:cs="Times New Roman"/>
          <w:color w:val="000000"/>
        </w:rPr>
        <w:t>40</w:t>
      </w:r>
      <w:r>
        <w:rPr>
          <w:rFonts w:ascii="宋体" w:hAnsi="宋体" w:eastAsia="宋体" w:cs="宋体"/>
          <w:color w:val="000000"/>
        </w:rPr>
        <w:t>°</w:t>
      </w:r>
      <w:r>
        <w:rPr>
          <w:rFonts w:ascii="Times New Roman" w:hAnsi="Times New Roman" w:eastAsia="Times New Roman" w:cs="Times New Roman"/>
          <w:color w:val="000000"/>
        </w:rPr>
        <w:t>N</w:t>
      </w:r>
      <w:r>
        <w:rPr>
          <w:rFonts w:ascii="宋体" w:hAnsi="宋体" w:eastAsia="宋体" w:cs="宋体"/>
          <w:color w:val="000000"/>
        </w:rPr>
        <w:t>纬线</w:t>
      </w:r>
      <w:r>
        <w:rPr>
          <w:color w:val="000000"/>
        </w:rPr>
        <w:tab/>
      </w:r>
      <w:r>
        <w:rPr>
          <w:color w:val="000000"/>
        </w:rPr>
        <w:t xml:space="preserve">C. </w:t>
      </w:r>
      <w:r>
        <w:rPr>
          <w:rFonts w:ascii="宋体" w:hAnsi="宋体" w:eastAsia="宋体" w:cs="宋体"/>
          <w:color w:val="000000"/>
        </w:rPr>
        <w:t>胡焕庸线</w:t>
      </w:r>
      <w:r>
        <w:rPr>
          <w:color w:val="000000"/>
        </w:rPr>
        <w:tab/>
      </w:r>
      <w:r>
        <w:rPr>
          <w:color w:val="000000"/>
        </w:rPr>
        <w:t xml:space="preserve">D. </w:t>
      </w:r>
      <w:r>
        <w:rPr>
          <w:rFonts w:ascii="宋体" w:hAnsi="宋体" w:eastAsia="宋体" w:cs="宋体"/>
          <w:color w:val="000000"/>
        </w:rPr>
        <w:t>秦岭—淮河一线</w:t>
      </w:r>
    </w:p>
    <w:p w14:paraId="3D3BC6AE">
      <w:pPr>
        <w:spacing w:line="360" w:lineRule="auto"/>
        <w:jc w:val="left"/>
        <w:textAlignment w:val="center"/>
        <w:rPr>
          <w:color w:val="000000"/>
        </w:rPr>
      </w:pPr>
      <w:r>
        <w:rPr>
          <w:color w:val="000000"/>
        </w:rPr>
        <w:t xml:space="preserve">13. </w:t>
      </w:r>
      <w:r>
        <w:rPr>
          <w:rFonts w:ascii="Times New Roman" w:hAnsi="Times New Roman" w:eastAsia="Times New Roman" w:cs="Times New Roman"/>
          <w:color w:val="000000"/>
        </w:rPr>
        <w:t>2009</w:t>
      </w:r>
      <w:r>
        <w:rPr>
          <w:rFonts w:ascii="宋体" w:hAnsi="宋体" w:eastAsia="宋体" w:cs="宋体"/>
          <w:color w:val="000000"/>
        </w:rPr>
        <w:t>—</w:t>
      </w:r>
      <w:r>
        <w:rPr>
          <w:rFonts w:ascii="Times New Roman" w:hAnsi="Times New Roman" w:eastAsia="Times New Roman" w:cs="Times New Roman"/>
          <w:color w:val="000000"/>
        </w:rPr>
        <w:t>2019</w:t>
      </w:r>
      <w:r>
        <w:rPr>
          <w:rFonts w:ascii="宋体" w:hAnsi="宋体" w:eastAsia="宋体" w:cs="宋体"/>
          <w:color w:val="000000"/>
        </w:rPr>
        <w:t>年我国部分省级行政区耕地增加，其主要驱动力是（</w:t>
      </w:r>
      <w:r>
        <w:rPr>
          <w:rFonts w:ascii="Times New Roman" w:hAnsi="Times New Roman" w:eastAsia="Times New Roman" w:cs="Times New Roman"/>
          <w:color w:val="000000"/>
        </w:rPr>
        <w:t xml:space="preserve">   </w:t>
      </w:r>
      <w:r>
        <w:rPr>
          <w:rFonts w:ascii="宋体" w:hAnsi="宋体" w:eastAsia="宋体" w:cs="宋体"/>
          <w:color w:val="000000"/>
        </w:rPr>
        <w:t>）</w:t>
      </w:r>
    </w:p>
    <w:p w14:paraId="20C415D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作物品种改良</w:t>
      </w:r>
      <w:r>
        <w:rPr>
          <w:color w:val="000000"/>
        </w:rPr>
        <w:tab/>
      </w:r>
      <w:r>
        <w:rPr>
          <w:color w:val="000000"/>
        </w:rPr>
        <w:t xml:space="preserve">B. </w:t>
      </w:r>
      <w:r>
        <w:rPr>
          <w:rFonts w:ascii="宋体" w:hAnsi="宋体" w:eastAsia="宋体" w:cs="宋体"/>
          <w:color w:val="000000"/>
        </w:rPr>
        <w:t>人口数量增多</w:t>
      </w:r>
      <w:r>
        <w:rPr>
          <w:color w:val="000000"/>
        </w:rPr>
        <w:tab/>
      </w:r>
      <w:r>
        <w:rPr>
          <w:color w:val="000000"/>
        </w:rPr>
        <w:t xml:space="preserve">C. </w:t>
      </w:r>
      <w:r>
        <w:rPr>
          <w:rFonts w:ascii="宋体" w:hAnsi="宋体" w:eastAsia="宋体" w:cs="宋体"/>
          <w:color w:val="000000"/>
        </w:rPr>
        <w:t>具有规模效益</w:t>
      </w:r>
      <w:r>
        <w:rPr>
          <w:color w:val="000000"/>
        </w:rPr>
        <w:tab/>
      </w:r>
      <w:r>
        <w:rPr>
          <w:color w:val="000000"/>
        </w:rPr>
        <w:t xml:space="preserve">D. </w:t>
      </w:r>
      <w:r>
        <w:rPr>
          <w:rFonts w:ascii="宋体" w:hAnsi="宋体" w:eastAsia="宋体" w:cs="宋体"/>
          <w:color w:val="000000"/>
        </w:rPr>
        <w:t>交通区位改善</w:t>
      </w:r>
    </w:p>
    <w:p w14:paraId="269E64F1">
      <w:pPr>
        <w:spacing w:line="360" w:lineRule="auto"/>
        <w:jc w:val="left"/>
        <w:textAlignment w:val="center"/>
        <w:rPr>
          <w:color w:val="000000"/>
        </w:rPr>
      </w:pPr>
      <w:r>
        <w:rPr>
          <w:color w:val="000000"/>
        </w:rPr>
        <w:t xml:space="preserve">14. </w:t>
      </w:r>
      <w:r>
        <w:rPr>
          <w:rFonts w:ascii="宋体" w:hAnsi="宋体" w:eastAsia="宋体" w:cs="宋体"/>
          <w:color w:val="000000"/>
        </w:rPr>
        <w:t>为保障我国粮食安全和生态安全，符合因地施策的是（</w:t>
      </w:r>
      <w:r>
        <w:rPr>
          <w:rFonts w:ascii="Times New Roman" w:hAnsi="Times New Roman" w:eastAsia="Times New Roman" w:cs="Times New Roman"/>
          <w:color w:val="000000"/>
        </w:rPr>
        <w:t xml:space="preserve">   </w:t>
      </w:r>
      <w:r>
        <w:rPr>
          <w:rFonts w:ascii="宋体" w:hAnsi="宋体" w:eastAsia="宋体" w:cs="宋体"/>
          <w:color w:val="000000"/>
        </w:rPr>
        <w:t>）</w:t>
      </w:r>
    </w:p>
    <w:p w14:paraId="13F2E5F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东南地区严格保护耕地，复垦城镇建设用地</w:t>
      </w:r>
      <w:r>
        <w:rPr>
          <w:color w:val="000000"/>
        </w:rPr>
        <w:tab/>
      </w:r>
      <w:r>
        <w:rPr>
          <w:color w:val="000000"/>
        </w:rPr>
        <w:t xml:space="preserve">B. </w:t>
      </w:r>
      <w:r>
        <w:rPr>
          <w:rFonts w:ascii="宋体" w:hAnsi="宋体" w:eastAsia="宋体" w:cs="宋体"/>
          <w:color w:val="000000"/>
        </w:rPr>
        <w:t>西北地区积极开采地下水，增加可灌溉面积</w:t>
      </w:r>
    </w:p>
    <w:p w14:paraId="54E813F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东北地区加大湿地开发力度、增加耕地供给</w:t>
      </w:r>
      <w:r>
        <w:rPr>
          <w:color w:val="000000"/>
        </w:rPr>
        <w:tab/>
      </w:r>
      <w:r>
        <w:rPr>
          <w:color w:val="000000"/>
        </w:rPr>
        <w:t xml:space="preserve">D. </w:t>
      </w:r>
      <w:r>
        <w:rPr>
          <w:rFonts w:ascii="宋体" w:hAnsi="宋体" w:eastAsia="宋体" w:cs="宋体"/>
          <w:color w:val="000000"/>
        </w:rPr>
        <w:t>西南地区鼓励撂荒地复垦，遏制耕地非粮化</w:t>
      </w:r>
    </w:p>
    <w:p w14:paraId="0987D432">
      <w:pPr>
        <w:spacing w:line="360" w:lineRule="auto"/>
        <w:textAlignment w:val="center"/>
        <w:rPr>
          <w:color w:val="000000"/>
        </w:rPr>
      </w:pPr>
      <w:r>
        <w:rPr>
          <w:color w:val="2E75B6"/>
        </w:rPr>
        <w:t>【答案】</w:t>
      </w:r>
      <w:r>
        <w:rPr>
          <w:color w:val="000000"/>
        </w:rPr>
        <w:t>12. B    13. A    14. D</w:t>
      </w:r>
    </w:p>
    <w:p w14:paraId="27F0C336">
      <w:pPr>
        <w:spacing w:line="360" w:lineRule="auto"/>
        <w:textAlignment w:val="center"/>
        <w:rPr>
          <w:color w:val="000000"/>
        </w:rPr>
      </w:pPr>
      <w:r>
        <w:rPr>
          <w:color w:val="2E75B6"/>
        </w:rPr>
        <w:t>【解析】</w:t>
      </w:r>
    </w:p>
    <w:p w14:paraId="0905C72E">
      <w:pPr>
        <w:spacing w:line="360" w:lineRule="auto"/>
        <w:textAlignment w:val="center"/>
        <w:rPr>
          <w:color w:val="000000"/>
        </w:rPr>
      </w:pPr>
      <w:r>
        <w:rPr>
          <w:color w:val="000000"/>
        </w:rPr>
        <w:t>【12题详解】</w:t>
      </w:r>
    </w:p>
    <w:p w14:paraId="266C0D75">
      <w:pPr>
        <w:spacing w:line="360" w:lineRule="auto"/>
        <w:jc w:val="left"/>
        <w:textAlignment w:val="center"/>
        <w:rPr>
          <w:color w:val="000000"/>
        </w:rPr>
      </w:pPr>
      <w:r>
        <w:rPr>
          <w:color w:val="000000"/>
        </w:rPr>
        <w:t>读图可知，我国北方地区耕地面积减少（如东北、华北），南方地区（40°N以南）耕地面积增加（如华东、华南），区域差异显著，由此推测40°N纬线大致符合划分界线，B正确；110°E经线、胡焕庸线、秦岭—淮河一线等分界线两侧耕地面积的增减没有明显差异，ACD错误。B正确。</w:t>
      </w:r>
    </w:p>
    <w:p w14:paraId="7839EECD">
      <w:pPr>
        <w:spacing w:line="360" w:lineRule="auto"/>
        <w:jc w:val="left"/>
        <w:textAlignment w:val="center"/>
        <w:rPr>
          <w:color w:val="000000"/>
        </w:rPr>
      </w:pPr>
      <w:r>
        <w:rPr>
          <w:color w:val="000000"/>
          <w:position w:val="0"/>
        </w:rPr>
        <w:drawing>
          <wp:inline distT="0" distB="0" distL="114300" distR="114300">
            <wp:extent cx="95250" cy="171450"/>
            <wp:effectExtent l="0" t="0" r="0" b="0"/>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12"/>
                    <a:stretch>
                      <a:fillRect/>
                    </a:stretch>
                  </pic:blipFill>
                  <pic:spPr>
                    <a:xfrm>
                      <a:off x="0" y="0"/>
                      <a:ext cx="95250" cy="171450"/>
                    </a:xfrm>
                    <a:prstGeom prst="rect">
                      <a:avLst/>
                    </a:prstGeom>
                  </pic:spPr>
                </pic:pic>
              </a:graphicData>
            </a:graphic>
          </wp:inline>
        </w:drawing>
      </w:r>
      <w:r>
        <w:rPr>
          <w:color w:val="000000"/>
        </w:rPr>
        <w:t>13题详解】</w:t>
      </w:r>
    </w:p>
    <w:p w14:paraId="58702CDC">
      <w:pPr>
        <w:spacing w:line="360" w:lineRule="auto"/>
        <w:jc w:val="left"/>
        <w:textAlignment w:val="center"/>
        <w:rPr>
          <w:color w:val="000000"/>
        </w:rPr>
      </w:pPr>
      <w:r>
        <w:rPr>
          <w:color w:val="000000"/>
        </w:rPr>
        <w:t>2009—2019年随着农业技术水平的提高，作物品种的改良，原本不适宜种植的作物的区域适宜种植新的改良之后的品种，使得我国部分省级行政区耕地面积增加，A正确；人口数量增加不会直接增加耕地面积，B错误；具有规模效益主要涉及耕地规模或集中程度，与耕地面积增减无直接因果关系，C错误；交通区位改善影响土地利用效率，但非耕地增加的主因，D错误。故选A。</w:t>
      </w:r>
    </w:p>
    <w:p w14:paraId="32F1EAC0">
      <w:pPr>
        <w:spacing w:line="360" w:lineRule="auto"/>
        <w:jc w:val="left"/>
        <w:textAlignment w:val="center"/>
        <w:rPr>
          <w:color w:val="000000"/>
        </w:rPr>
      </w:pPr>
      <w:r>
        <w:rPr>
          <w:color w:val="000000"/>
        </w:rPr>
        <w:t>【14题详解】</w:t>
      </w:r>
    </w:p>
    <w:p w14:paraId="50E89D27">
      <w:pPr>
        <w:spacing w:line="360" w:lineRule="auto"/>
        <w:jc w:val="left"/>
        <w:textAlignment w:val="center"/>
        <w:rPr>
          <w:color w:val="000000"/>
        </w:rPr>
      </w:pPr>
      <w:r>
        <w:rPr>
          <w:color w:val="000000"/>
        </w:rPr>
        <w:t>东南地区应严格保护耕地，但</w:t>
      </w:r>
      <w:r>
        <w:rPr>
          <w:rFonts w:ascii="宋体" w:hAnsi="宋体" w:eastAsia="宋体" w:cs="宋体"/>
          <w:color w:val="000000"/>
        </w:rPr>
        <w:t>“</w:t>
      </w:r>
      <w:r>
        <w:rPr>
          <w:color w:val="000000"/>
        </w:rPr>
        <w:t>开发城镇建设用地</w:t>
      </w:r>
      <w:r>
        <w:rPr>
          <w:rFonts w:ascii="宋体" w:hAnsi="宋体" w:eastAsia="宋体" w:cs="宋体"/>
          <w:color w:val="000000"/>
        </w:rPr>
        <w:t>”</w:t>
      </w:r>
      <w:r>
        <w:rPr>
          <w:color w:val="000000"/>
        </w:rPr>
        <w:t>会占用耕地，A错误；西北地区开采地下水易导致生态退化（如荒漠化），不可持续，B错误；东北地区湿地开发容易破坏生态平衡，C错误；西南地区复垦撂荒地、遏制非粮化（如退耕还林）既能保障粮食生产，又兼顾生态，D正确。故选D。</w:t>
      </w:r>
    </w:p>
    <w:p w14:paraId="00B028E2">
      <w:pPr>
        <w:spacing w:line="360" w:lineRule="auto"/>
        <w:jc w:val="left"/>
        <w:textAlignment w:val="center"/>
        <w:rPr>
          <w:color w:val="000000"/>
        </w:rPr>
      </w:pPr>
      <w:r>
        <w:rPr>
          <w:color w:val="000000"/>
        </w:rPr>
        <w:t>【点睛】耕地面积变化是多种因素共同作用的结果，需要综合政策调控、经济发展、技术革新及环境变迁等维度。</w:t>
      </w:r>
    </w:p>
    <w:p w14:paraId="659F6BB6">
      <w:pPr>
        <w:spacing w:line="360" w:lineRule="auto"/>
        <w:ind w:firstLine="420"/>
        <w:jc w:val="left"/>
        <w:textAlignment w:val="center"/>
        <w:rPr>
          <w:color w:val="000000"/>
        </w:rPr>
      </w:pPr>
      <w:r>
        <w:rPr>
          <w:rFonts w:ascii="楷体" w:hAnsi="楷体" w:eastAsia="楷体" w:cs="楷体"/>
          <w:color w:val="000000"/>
        </w:rPr>
        <w:t>亚洲中部高大山脉周边分布着许多国家的首都。下图为亚洲局部地区卫星影像图，据此完成下面小题。</w:t>
      </w:r>
    </w:p>
    <w:p w14:paraId="1373F0C8">
      <w:pPr>
        <w:spacing w:line="360" w:lineRule="auto"/>
        <w:jc w:val="left"/>
        <w:textAlignment w:val="center"/>
        <w:rPr>
          <w:color w:val="000000"/>
        </w:rPr>
      </w:pPr>
      <w:r>
        <w:rPr>
          <w:color w:val="000000"/>
        </w:rPr>
        <w:drawing>
          <wp:inline distT="0" distB="0" distL="114300" distR="114300">
            <wp:extent cx="2571750" cy="2562225"/>
            <wp:effectExtent l="0" t="0" r="0"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2571750" cy="2562225"/>
                    </a:xfrm>
                    <a:prstGeom prst="rect">
                      <a:avLst/>
                    </a:prstGeom>
                  </pic:spPr>
                </pic:pic>
              </a:graphicData>
            </a:graphic>
          </wp:inline>
        </w:drawing>
      </w:r>
    </w:p>
    <w:p w14:paraId="44419705">
      <w:pPr>
        <w:spacing w:line="360" w:lineRule="auto"/>
        <w:jc w:val="left"/>
        <w:textAlignment w:val="center"/>
        <w:rPr>
          <w:color w:val="000000"/>
        </w:rPr>
      </w:pPr>
      <w:r>
        <w:rPr>
          <w:color w:val="000000"/>
        </w:rPr>
        <w:t xml:space="preserve">15. </w:t>
      </w:r>
      <w:r>
        <w:rPr>
          <w:rFonts w:ascii="宋体" w:hAnsi="宋体" w:eastAsia="宋体" w:cs="宋体"/>
          <w:color w:val="000000"/>
        </w:rPr>
        <w:t>图中城市发展初期选址在山麓地带，考虑的首要条件是（</w:t>
      </w:r>
      <w:r>
        <w:rPr>
          <w:rFonts w:ascii="Times New Roman" w:hAnsi="Times New Roman" w:eastAsia="Times New Roman" w:cs="Times New Roman"/>
          <w:color w:val="000000"/>
        </w:rPr>
        <w:t xml:space="preserve">   </w:t>
      </w:r>
      <w:r>
        <w:rPr>
          <w:rFonts w:ascii="宋体" w:hAnsi="宋体" w:eastAsia="宋体" w:cs="宋体"/>
          <w:color w:val="000000"/>
        </w:rPr>
        <w:t>）</w:t>
      </w:r>
    </w:p>
    <w:p w14:paraId="411A7E9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充足的光热</w:t>
      </w:r>
      <w:r>
        <w:rPr>
          <w:color w:val="000000"/>
        </w:rPr>
        <w:tab/>
      </w:r>
      <w:r>
        <w:rPr>
          <w:color w:val="000000"/>
        </w:rPr>
        <w:t xml:space="preserve">B. </w:t>
      </w:r>
      <w:r>
        <w:rPr>
          <w:rFonts w:ascii="宋体" w:hAnsi="宋体" w:eastAsia="宋体" w:cs="宋体"/>
          <w:color w:val="000000"/>
        </w:rPr>
        <w:t>稳定的水源</w:t>
      </w:r>
      <w:r>
        <w:rPr>
          <w:color w:val="000000"/>
        </w:rPr>
        <w:tab/>
      </w:r>
      <w:r>
        <w:rPr>
          <w:color w:val="000000"/>
        </w:rPr>
        <w:t xml:space="preserve">C. </w:t>
      </w:r>
      <w:r>
        <w:rPr>
          <w:rFonts w:ascii="宋体" w:hAnsi="宋体" w:eastAsia="宋体" w:cs="宋体"/>
          <w:color w:val="000000"/>
        </w:rPr>
        <w:t>丰富的矿产</w:t>
      </w:r>
      <w:r>
        <w:rPr>
          <w:color w:val="000000"/>
        </w:rPr>
        <w:tab/>
      </w:r>
      <w:r>
        <w:rPr>
          <w:color w:val="000000"/>
        </w:rPr>
        <w:t xml:space="preserve">D. </w:t>
      </w:r>
      <w:r>
        <w:rPr>
          <w:rFonts w:ascii="宋体" w:hAnsi="宋体" w:eastAsia="宋体" w:cs="宋体"/>
          <w:color w:val="000000"/>
        </w:rPr>
        <w:t>肥沃的土壤</w:t>
      </w:r>
    </w:p>
    <w:p w14:paraId="61E7B2A5">
      <w:pPr>
        <w:spacing w:line="360" w:lineRule="auto"/>
        <w:jc w:val="left"/>
        <w:textAlignment w:val="center"/>
        <w:rPr>
          <w:color w:val="000000"/>
        </w:rPr>
      </w:pPr>
      <w:r>
        <w:rPr>
          <w:color w:val="000000"/>
        </w:rPr>
        <w:t xml:space="preserve">16. </w:t>
      </w:r>
      <w:r>
        <w:rPr>
          <w:rFonts w:ascii="宋体" w:hAnsi="宋体" w:eastAsia="宋体" w:cs="宋体"/>
          <w:color w:val="000000"/>
        </w:rPr>
        <w:t>图中城市依托地形地势发展成为国家政治中心，主要考虑（</w:t>
      </w:r>
      <w:r>
        <w:rPr>
          <w:rFonts w:ascii="Times New Roman" w:hAnsi="Times New Roman" w:eastAsia="Times New Roman" w:cs="Times New Roman"/>
          <w:color w:val="000000"/>
        </w:rPr>
        <w:t xml:space="preserve">   </w:t>
      </w:r>
      <w:r>
        <w:rPr>
          <w:rFonts w:ascii="宋体" w:hAnsi="宋体" w:eastAsia="宋体" w:cs="宋体"/>
          <w:color w:val="000000"/>
        </w:rPr>
        <w:t>）</w:t>
      </w:r>
    </w:p>
    <w:p w14:paraId="78AAFDF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安全防御</w:t>
      </w:r>
      <w:r>
        <w:rPr>
          <w:color w:val="000000"/>
        </w:rPr>
        <w:tab/>
      </w:r>
      <w:r>
        <w:rPr>
          <w:color w:val="000000"/>
        </w:rPr>
        <w:t xml:space="preserve">B. </w:t>
      </w:r>
      <w:r>
        <w:rPr>
          <w:rFonts w:ascii="宋体" w:hAnsi="宋体" w:eastAsia="宋体" w:cs="宋体"/>
          <w:color w:val="000000"/>
        </w:rPr>
        <w:t>城市历史</w:t>
      </w:r>
      <w:r>
        <w:rPr>
          <w:color w:val="000000"/>
        </w:rPr>
        <w:tab/>
      </w:r>
      <w:r>
        <w:rPr>
          <w:color w:val="000000"/>
        </w:rPr>
        <w:t xml:space="preserve">C. </w:t>
      </w:r>
      <w:r>
        <w:rPr>
          <w:rFonts w:ascii="宋体" w:hAnsi="宋体" w:eastAsia="宋体" w:cs="宋体"/>
          <w:color w:val="000000"/>
        </w:rPr>
        <w:t>农业条件</w:t>
      </w:r>
      <w:r>
        <w:rPr>
          <w:color w:val="000000"/>
        </w:rPr>
        <w:tab/>
      </w:r>
      <w:r>
        <w:rPr>
          <w:color w:val="000000"/>
        </w:rPr>
        <w:t xml:space="preserve">D. </w:t>
      </w:r>
      <w:r>
        <w:rPr>
          <w:rFonts w:ascii="宋体" w:hAnsi="宋体" w:eastAsia="宋体" w:cs="宋体"/>
          <w:color w:val="000000"/>
        </w:rPr>
        <w:t>人口数量</w:t>
      </w:r>
    </w:p>
    <w:p w14:paraId="609FE39C">
      <w:pPr>
        <w:spacing w:line="360" w:lineRule="auto"/>
        <w:textAlignment w:val="center"/>
        <w:rPr>
          <w:color w:val="000000"/>
        </w:rPr>
      </w:pPr>
      <w:r>
        <w:rPr>
          <w:color w:val="2E75B6"/>
        </w:rPr>
        <w:t>【答案】</w:t>
      </w:r>
      <w:r>
        <w:rPr>
          <w:color w:val="000000"/>
        </w:rPr>
        <w:t>15. B    16. A</w:t>
      </w:r>
    </w:p>
    <w:p w14:paraId="4DAD22A1">
      <w:pPr>
        <w:spacing w:line="360" w:lineRule="auto"/>
        <w:textAlignment w:val="center"/>
        <w:rPr>
          <w:color w:val="000000"/>
        </w:rPr>
      </w:pPr>
      <w:r>
        <w:rPr>
          <w:color w:val="2E75B6"/>
        </w:rPr>
        <w:t>【解析】</w:t>
      </w:r>
    </w:p>
    <w:p w14:paraId="2E25EEF2">
      <w:pPr>
        <w:spacing w:line="360" w:lineRule="auto"/>
        <w:textAlignment w:val="center"/>
        <w:rPr>
          <w:color w:val="000000"/>
        </w:rPr>
      </w:pPr>
      <w:r>
        <w:rPr>
          <w:color w:val="000000"/>
        </w:rPr>
        <w:t>【15题详解】</w:t>
      </w:r>
    </w:p>
    <w:p w14:paraId="1C94526E">
      <w:pPr>
        <w:spacing w:line="360" w:lineRule="auto"/>
        <w:jc w:val="left"/>
        <w:textAlignment w:val="center"/>
        <w:rPr>
          <w:color w:val="000000"/>
        </w:rPr>
      </w:pPr>
      <w:r>
        <w:rPr>
          <w:color w:val="000000"/>
        </w:rPr>
        <w:t>山麓地带的光热条件与平原地区差异不大，不是首要考虑因素，A错误；亚洲中部气候干旱，山麓地带因高山冰雪融水和山地降水提供稳定水源，是城市发展的关键条件，B正确；矿产分布具有偶然性，未必是城市选址的普遍因素，C错误；山麓地带土壤未必优于其他地区，且干旱区农业发展依赖灌溉，水源更重要，D错误。故选B。</w:t>
      </w:r>
    </w:p>
    <w:p w14:paraId="5DC5BD5E">
      <w:pPr>
        <w:spacing w:line="360" w:lineRule="auto"/>
        <w:jc w:val="left"/>
        <w:textAlignment w:val="center"/>
        <w:rPr>
          <w:color w:val="000000"/>
        </w:rPr>
      </w:pPr>
      <w:r>
        <w:rPr>
          <w:color w:val="000000"/>
        </w:rPr>
        <w:t>【16题详解】</w:t>
      </w:r>
    </w:p>
    <w:p w14:paraId="5E4E1835">
      <w:pPr>
        <w:spacing w:line="360" w:lineRule="auto"/>
        <w:jc w:val="left"/>
        <w:textAlignment w:val="center"/>
        <w:rPr>
          <w:color w:val="000000"/>
        </w:rPr>
      </w:pPr>
      <w:r>
        <w:rPr>
          <w:color w:val="000000"/>
        </w:rPr>
        <w:t>山麓地带地势险要，易守难攻，历史上政治中心常选址于此以保障安全，A正确；历史因素不是依托地形地势发展成为国家政治中心主要考虑的因素，B错误；国家的政治中心选址更注重其带来的战略意义，农业条件非首要因素，C错误；人口聚集是城市发展的结果而非原因，D错误。故选A。</w:t>
      </w:r>
    </w:p>
    <w:p w14:paraId="3CDAF37A">
      <w:pPr>
        <w:spacing w:line="360" w:lineRule="auto"/>
        <w:jc w:val="left"/>
        <w:textAlignment w:val="center"/>
        <w:rPr>
          <w:color w:val="000000"/>
        </w:rPr>
      </w:pPr>
      <w:r>
        <w:rPr>
          <w:color w:val="000000"/>
        </w:rPr>
        <w:t>【点睛】城市的区位因素可分为自然因素和社会经济因素两大类，其中自然因素包括地形、气候、河流和自然资源，社会经济因素涵盖交通、政治、科技、旅游等多维度要素‌。这些因素随着历史发展呈现动态变化特征，例如军事和宗教因素影响力减弱，科技和旅游因素作用日益凸显。‌‌</w:t>
      </w:r>
    </w:p>
    <w:p w14:paraId="7B1DBBC6">
      <w:pPr>
        <w:spacing w:line="360" w:lineRule="auto"/>
        <w:ind w:firstLine="420"/>
        <w:jc w:val="left"/>
        <w:textAlignment w:val="center"/>
        <w:rPr>
          <w:color w:val="000000"/>
        </w:rPr>
      </w:pPr>
      <w:r>
        <w:rPr>
          <w:rFonts w:ascii="楷体" w:hAnsi="楷体" w:eastAsia="楷体" w:cs="楷体"/>
          <w:color w:val="000000"/>
        </w:rPr>
        <w:t>老年人口抚养比是指一个地区老年人口数与劳动年龄人口数的比值。下图为</w:t>
      </w:r>
      <w:r>
        <w:rPr>
          <w:rFonts w:ascii="宋体" w:hAnsi="宋体" w:eastAsia="宋体" w:cs="宋体"/>
          <w:color w:val="000000"/>
        </w:rPr>
        <w:t>“</w:t>
      </w:r>
      <w:r>
        <w:rPr>
          <w:rFonts w:ascii="Times New Roman" w:hAnsi="Times New Roman" w:eastAsia="Times New Roman" w:cs="Times New Roman"/>
          <w:color w:val="000000"/>
        </w:rPr>
        <w:t>2022</w:t>
      </w:r>
      <w:r>
        <w:rPr>
          <w:rFonts w:ascii="楷体" w:hAnsi="楷体" w:eastAsia="楷体" w:cs="楷体"/>
          <w:color w:val="000000"/>
        </w:rPr>
        <w:t>年我国部分省级行政区老年人口抚养比与人均收入的关系图</w:t>
      </w:r>
      <w:r>
        <w:rPr>
          <w:rFonts w:ascii="宋体" w:hAnsi="宋体" w:eastAsia="宋体" w:cs="宋体"/>
          <w:color w:val="000000"/>
        </w:rPr>
        <w:t>”</w:t>
      </w:r>
      <w:r>
        <w:rPr>
          <w:rFonts w:ascii="楷体" w:hAnsi="楷体" w:eastAsia="楷体" w:cs="楷体"/>
          <w:color w:val="000000"/>
        </w:rPr>
        <w:t>。完成下面小题。</w:t>
      </w:r>
    </w:p>
    <w:p w14:paraId="4A83978F">
      <w:pPr>
        <w:spacing w:line="360" w:lineRule="auto"/>
        <w:jc w:val="left"/>
        <w:textAlignment w:val="center"/>
        <w:rPr>
          <w:color w:val="000000"/>
        </w:rPr>
      </w:pPr>
      <w:r>
        <w:rPr>
          <w:color w:val="000000"/>
        </w:rPr>
        <w:drawing>
          <wp:inline distT="0" distB="0" distL="114300" distR="114300">
            <wp:extent cx="2667000" cy="192405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2667000" cy="1924050"/>
                    </a:xfrm>
                    <a:prstGeom prst="rect">
                      <a:avLst/>
                    </a:prstGeom>
                  </pic:spPr>
                </pic:pic>
              </a:graphicData>
            </a:graphic>
          </wp:inline>
        </w:drawing>
      </w:r>
    </w:p>
    <w:p w14:paraId="57E818D3">
      <w:pPr>
        <w:spacing w:line="360" w:lineRule="auto"/>
        <w:jc w:val="left"/>
        <w:textAlignment w:val="center"/>
        <w:rPr>
          <w:color w:val="000000"/>
        </w:rPr>
      </w:pPr>
      <w:r>
        <w:rPr>
          <w:color w:val="000000"/>
        </w:rPr>
        <w:t xml:space="preserve">17. </w:t>
      </w:r>
      <w:r>
        <w:rPr>
          <w:rFonts w:ascii="宋体" w:hAnsi="宋体" w:eastAsia="宋体" w:cs="宋体"/>
          <w:color w:val="000000"/>
        </w:rPr>
        <w:t>图中表示江苏的是（</w:t>
      </w:r>
      <w:r>
        <w:rPr>
          <w:rFonts w:ascii="Times New Roman" w:hAnsi="Times New Roman" w:eastAsia="Times New Roman" w:cs="Times New Roman"/>
          <w:color w:val="000000"/>
        </w:rPr>
        <w:t xml:space="preserve">   </w:t>
      </w:r>
      <w:r>
        <w:rPr>
          <w:rFonts w:ascii="宋体" w:hAnsi="宋体" w:eastAsia="宋体" w:cs="宋体"/>
          <w:color w:val="000000"/>
        </w:rPr>
        <w:t>）</w:t>
      </w:r>
    </w:p>
    <w:p w14:paraId="451D4AF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甲</w:t>
      </w:r>
      <w:r>
        <w:rPr>
          <w:color w:val="000000"/>
        </w:rPr>
        <w:tab/>
      </w:r>
      <w:r>
        <w:rPr>
          <w:color w:val="000000"/>
        </w:rPr>
        <w:t xml:space="preserve">B. </w:t>
      </w:r>
      <w:r>
        <w:rPr>
          <w:rFonts w:ascii="宋体" w:hAnsi="宋体" w:eastAsia="宋体" w:cs="宋体"/>
          <w:color w:val="000000"/>
        </w:rPr>
        <w:t>乙</w:t>
      </w:r>
      <w:r>
        <w:rPr>
          <w:color w:val="000000"/>
        </w:rPr>
        <w:tab/>
      </w:r>
      <w:r>
        <w:rPr>
          <w:color w:val="000000"/>
        </w:rPr>
        <w:t xml:space="preserve">C. </w:t>
      </w:r>
      <w:r>
        <w:rPr>
          <w:rFonts w:ascii="宋体" w:hAnsi="宋体" w:eastAsia="宋体" w:cs="宋体"/>
          <w:color w:val="000000"/>
        </w:rPr>
        <w:t>丙</w:t>
      </w:r>
      <w:r>
        <w:rPr>
          <w:color w:val="000000"/>
        </w:rPr>
        <w:tab/>
      </w:r>
      <w:r>
        <w:rPr>
          <w:color w:val="000000"/>
        </w:rPr>
        <w:t xml:space="preserve">D. </w:t>
      </w:r>
      <w:r>
        <w:rPr>
          <w:rFonts w:ascii="宋体" w:hAnsi="宋体" w:eastAsia="宋体" w:cs="宋体"/>
          <w:color w:val="000000"/>
        </w:rPr>
        <w:t>丁</w:t>
      </w:r>
    </w:p>
    <w:p w14:paraId="4ECF624D">
      <w:pPr>
        <w:spacing w:line="360" w:lineRule="auto"/>
        <w:jc w:val="left"/>
        <w:textAlignment w:val="center"/>
        <w:rPr>
          <w:color w:val="000000"/>
        </w:rPr>
      </w:pPr>
      <w:r>
        <w:rPr>
          <w:color w:val="000000"/>
        </w:rPr>
        <w:t xml:space="preserve">18. </w:t>
      </w:r>
      <w:r>
        <w:rPr>
          <w:rFonts w:ascii="宋体" w:hAnsi="宋体" w:eastAsia="宋体" w:cs="宋体"/>
          <w:color w:val="000000"/>
        </w:rPr>
        <w:t>我国人均收入高的地区老年人口抚养比差异明显，其主要影响因素是（</w:t>
      </w:r>
      <w:r>
        <w:rPr>
          <w:rFonts w:ascii="Times New Roman" w:hAnsi="Times New Roman" w:eastAsia="Times New Roman" w:cs="Times New Roman"/>
          <w:color w:val="000000"/>
        </w:rPr>
        <w:t xml:space="preserve">   </w:t>
      </w:r>
      <w:r>
        <w:rPr>
          <w:rFonts w:ascii="宋体" w:hAnsi="宋体" w:eastAsia="宋体" w:cs="宋体"/>
          <w:color w:val="000000"/>
        </w:rPr>
        <w:t>）</w:t>
      </w:r>
    </w:p>
    <w:p w14:paraId="06BD1C1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医疗卫生条件</w:t>
      </w:r>
      <w:r>
        <w:rPr>
          <w:color w:val="000000"/>
        </w:rPr>
        <w:tab/>
      </w:r>
      <w:r>
        <w:rPr>
          <w:color w:val="000000"/>
        </w:rPr>
        <w:t xml:space="preserve">B. </w:t>
      </w:r>
      <w:r>
        <w:rPr>
          <w:rFonts w:ascii="宋体" w:hAnsi="宋体" w:eastAsia="宋体" w:cs="宋体"/>
          <w:color w:val="000000"/>
        </w:rPr>
        <w:t>人口迁移量</w:t>
      </w:r>
      <w:r>
        <w:rPr>
          <w:color w:val="000000"/>
        </w:rPr>
        <w:tab/>
      </w:r>
      <w:r>
        <w:rPr>
          <w:color w:val="000000"/>
        </w:rPr>
        <w:t xml:space="preserve">C. </w:t>
      </w:r>
      <w:r>
        <w:rPr>
          <w:rFonts w:ascii="宋体" w:hAnsi="宋体" w:eastAsia="宋体" w:cs="宋体"/>
          <w:color w:val="000000"/>
        </w:rPr>
        <w:t>人口预期寿命</w:t>
      </w:r>
      <w:r>
        <w:rPr>
          <w:color w:val="000000"/>
        </w:rPr>
        <w:tab/>
      </w:r>
      <w:r>
        <w:rPr>
          <w:color w:val="000000"/>
        </w:rPr>
        <w:t xml:space="preserve">D. </w:t>
      </w:r>
      <w:r>
        <w:rPr>
          <w:rFonts w:ascii="宋体" w:hAnsi="宋体" w:eastAsia="宋体" w:cs="宋体"/>
          <w:color w:val="000000"/>
        </w:rPr>
        <w:t>人口出生率</w:t>
      </w:r>
    </w:p>
    <w:p w14:paraId="6E860EFB">
      <w:pPr>
        <w:spacing w:line="360" w:lineRule="auto"/>
        <w:textAlignment w:val="center"/>
        <w:rPr>
          <w:color w:val="000000"/>
        </w:rPr>
      </w:pPr>
      <w:r>
        <w:rPr>
          <w:color w:val="2E75B6"/>
        </w:rPr>
        <w:t>【答案】</w:t>
      </w:r>
      <w:r>
        <w:rPr>
          <w:color w:val="000000"/>
        </w:rPr>
        <w:t>17. B    18. B</w:t>
      </w:r>
    </w:p>
    <w:p w14:paraId="23B07FD3">
      <w:pPr>
        <w:spacing w:line="360" w:lineRule="auto"/>
        <w:textAlignment w:val="center"/>
        <w:rPr>
          <w:color w:val="000000"/>
        </w:rPr>
      </w:pPr>
      <w:r>
        <w:rPr>
          <w:color w:val="2E75B6"/>
        </w:rPr>
        <w:t>【解析】</w:t>
      </w:r>
    </w:p>
    <w:p w14:paraId="60D5B7B6">
      <w:pPr>
        <w:spacing w:line="360" w:lineRule="auto"/>
        <w:textAlignment w:val="center"/>
        <w:rPr>
          <w:color w:val="000000"/>
        </w:rPr>
      </w:pPr>
      <w:r>
        <w:rPr>
          <w:color w:val="000000"/>
        </w:rPr>
        <w:t>【17题详解】</w:t>
      </w:r>
    </w:p>
    <w:p w14:paraId="62FEC585">
      <w:pPr>
        <w:spacing w:line="360" w:lineRule="auto"/>
        <w:jc w:val="left"/>
        <w:textAlignment w:val="center"/>
        <w:rPr>
          <w:color w:val="000000"/>
        </w:rPr>
      </w:pPr>
      <w:r>
        <w:rPr>
          <w:color w:val="000000"/>
        </w:rPr>
        <w:t>江苏省经济发达，人均收入应较高，丙和丁人均收入较低，CD错误；根据图中上海、浙江的分布，可推测甲可能是北京，人均收入高，与上海差不多，而乙人均收入小于上海，应该是江苏，B正确，A错误。故选B。</w:t>
      </w:r>
    </w:p>
    <w:p w14:paraId="7CB944D4">
      <w:pPr>
        <w:spacing w:line="360" w:lineRule="auto"/>
        <w:jc w:val="left"/>
        <w:textAlignment w:val="center"/>
        <w:rPr>
          <w:color w:val="000000"/>
        </w:rPr>
      </w:pPr>
      <w:r>
        <w:rPr>
          <w:color w:val="000000"/>
        </w:rPr>
        <w:t>【18题详解】</w:t>
      </w:r>
    </w:p>
    <w:p w14:paraId="18AED370">
      <w:pPr>
        <w:spacing w:line="360" w:lineRule="auto"/>
        <w:jc w:val="left"/>
        <w:textAlignment w:val="center"/>
        <w:rPr>
          <w:color w:val="000000"/>
        </w:rPr>
      </w:pPr>
      <w:r>
        <w:rPr>
          <w:color w:val="000000"/>
        </w:rPr>
        <w:t>图中可看出，人均收入高的地区，有上海、浙江、广东、江苏等，广东老年人口抚养比最低，上海老年人口抚养比最高。根据所学知识，广东多个城市经济发达，制造业企业多，就业机会多，吸引了大量的青壮年劳动力，降低了老年人口抚养比，而上海高端产业多，对劳动力素质要求较高，主要吸引了高素质劳动力，而高素质劳动力数量较少，人口迁移量较少，使得老年人口抚养比较高，B正确；人均收入高的地区医疗卫生水平均较高，均能满足一般就医需求，A错误；人均收入高的地区，经济发达，生活和医疗水平较高，人口预期寿命都较长，C错误；人均收入高的地区，受传统生育观念的影响较小，出生率均较低，D错误。故选B。</w:t>
      </w:r>
    </w:p>
    <w:p w14:paraId="16065157">
      <w:pPr>
        <w:spacing w:line="360" w:lineRule="auto"/>
        <w:jc w:val="left"/>
        <w:textAlignment w:val="center"/>
        <w:rPr>
          <w:color w:val="000000"/>
        </w:rPr>
      </w:pPr>
      <w:r>
        <w:rPr>
          <w:color w:val="000000"/>
        </w:rPr>
        <w:t>【点睛】人口抚养比是指非劳动人口与劳动年龄(15～64岁)人口数之比，因此人口抚养比受区域人口年龄结构的影响，抚养比的大小受到非劳动力人口和劳动力人口多少的共同决定。</w:t>
      </w:r>
    </w:p>
    <w:p w14:paraId="2E1EF045">
      <w:pPr>
        <w:spacing w:line="360" w:lineRule="auto"/>
        <w:ind w:firstLine="420"/>
        <w:jc w:val="left"/>
        <w:textAlignment w:val="center"/>
        <w:rPr>
          <w:color w:val="000000"/>
        </w:rPr>
      </w:pPr>
      <w:r>
        <w:rPr>
          <w:rFonts w:ascii="楷体" w:hAnsi="楷体" w:eastAsia="楷体" w:cs="楷体"/>
          <w:color w:val="000000"/>
        </w:rPr>
        <w:t>东南亚农业种植结构受多种因素影响，不同历史时期发生了多次变化，下表为“东南亚不同历史时期种植的主要农作物”。完成下面小题。</w:t>
      </w:r>
    </w:p>
    <w:tbl>
      <w:tblPr>
        <w:tblStyle w:val="4"/>
        <w:tblW w:w="793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145"/>
        <w:gridCol w:w="5790"/>
      </w:tblGrid>
      <w:tr w14:paraId="3E822D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1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40A0E5">
            <w:pPr>
              <w:spacing w:line="360" w:lineRule="auto"/>
              <w:jc w:val="left"/>
              <w:textAlignment w:val="center"/>
              <w:rPr>
                <w:color w:val="000000"/>
              </w:rPr>
            </w:pPr>
            <w:r>
              <w:rPr>
                <w:rFonts w:ascii="楷体" w:hAnsi="楷体" w:eastAsia="楷体" w:cs="楷体"/>
                <w:color w:val="000000"/>
              </w:rPr>
              <w:t>历史时期</w:t>
            </w:r>
          </w:p>
        </w:tc>
        <w:tc>
          <w:tcPr>
            <w:tcW w:w="57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3109E2">
            <w:pPr>
              <w:spacing w:line="360" w:lineRule="auto"/>
              <w:jc w:val="left"/>
              <w:textAlignment w:val="center"/>
              <w:rPr>
                <w:color w:val="000000"/>
              </w:rPr>
            </w:pPr>
            <w:r>
              <w:rPr>
                <w:rFonts w:ascii="楷体" w:hAnsi="楷体" w:eastAsia="楷体" w:cs="楷体"/>
                <w:color w:val="000000"/>
              </w:rPr>
              <w:t>主要农作物</w:t>
            </w:r>
          </w:p>
        </w:tc>
      </w:tr>
      <w:tr w14:paraId="3F7BEA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1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C28201">
            <w:pPr>
              <w:spacing w:line="360" w:lineRule="auto"/>
              <w:jc w:val="left"/>
              <w:textAlignment w:val="center"/>
              <w:rPr>
                <w:color w:val="000000"/>
              </w:rPr>
            </w:pPr>
            <w:r>
              <w:rPr>
                <w:rFonts w:ascii="Times New Roman" w:hAnsi="Times New Roman" w:eastAsia="Times New Roman" w:cs="Times New Roman"/>
                <w:color w:val="000000"/>
              </w:rPr>
              <w:t>16</w:t>
            </w:r>
            <w:r>
              <w:rPr>
                <w:rFonts w:ascii="楷体" w:hAnsi="楷体" w:eastAsia="楷体" w:cs="楷体"/>
                <w:color w:val="000000"/>
              </w:rPr>
              <w:t>世纪以前</w:t>
            </w:r>
          </w:p>
        </w:tc>
        <w:tc>
          <w:tcPr>
            <w:tcW w:w="57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8C4A130">
            <w:pPr>
              <w:spacing w:line="360" w:lineRule="auto"/>
              <w:jc w:val="left"/>
              <w:textAlignment w:val="center"/>
              <w:rPr>
                <w:color w:val="000000"/>
              </w:rPr>
            </w:pPr>
            <w:r>
              <w:rPr>
                <w:rFonts w:ascii="楷体" w:hAnsi="楷体" w:eastAsia="楷体" w:cs="楷体"/>
                <w:color w:val="000000"/>
              </w:rPr>
              <w:t>水稻和甘蔗</w:t>
            </w:r>
          </w:p>
        </w:tc>
      </w:tr>
      <w:tr w14:paraId="16E992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1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E62BA1">
            <w:pPr>
              <w:spacing w:line="360" w:lineRule="auto"/>
              <w:jc w:val="left"/>
              <w:textAlignment w:val="center"/>
              <w:rPr>
                <w:color w:val="000000"/>
              </w:rPr>
            </w:pPr>
            <w:r>
              <w:rPr>
                <w:rFonts w:ascii="Times New Roman" w:hAnsi="Times New Roman" w:eastAsia="Times New Roman" w:cs="Times New Roman"/>
                <w:color w:val="000000"/>
              </w:rPr>
              <w:t>16</w:t>
            </w:r>
            <w:r>
              <w:rPr>
                <w:rFonts w:ascii="楷体" w:hAnsi="楷体" w:eastAsia="楷体" w:cs="楷体"/>
                <w:color w:val="000000"/>
              </w:rPr>
              <w:t>世纪至</w:t>
            </w:r>
            <w:r>
              <w:rPr>
                <w:rFonts w:ascii="Times New Roman" w:hAnsi="Times New Roman" w:eastAsia="Times New Roman" w:cs="Times New Roman"/>
                <w:color w:val="000000"/>
              </w:rPr>
              <w:t>19</w:t>
            </w:r>
            <w:r>
              <w:rPr>
                <w:rFonts w:ascii="楷体" w:hAnsi="楷体" w:eastAsia="楷体" w:cs="楷体"/>
                <w:color w:val="000000"/>
              </w:rPr>
              <w:t>世纪初</w:t>
            </w:r>
          </w:p>
        </w:tc>
        <w:tc>
          <w:tcPr>
            <w:tcW w:w="57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84CD7B">
            <w:pPr>
              <w:spacing w:line="360" w:lineRule="auto"/>
              <w:jc w:val="left"/>
              <w:textAlignment w:val="center"/>
              <w:rPr>
                <w:color w:val="000000"/>
              </w:rPr>
            </w:pPr>
            <w:r>
              <w:rPr>
                <w:rFonts w:ascii="楷体" w:hAnsi="楷体" w:eastAsia="楷体" w:cs="楷体"/>
                <w:color w:val="000000"/>
              </w:rPr>
              <w:t>丁香、胡椒、烟竿、咖啡、水稻、甘蔗等</w:t>
            </w:r>
          </w:p>
        </w:tc>
      </w:tr>
      <w:tr w14:paraId="601C26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1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141C7E">
            <w:pPr>
              <w:spacing w:line="360" w:lineRule="auto"/>
              <w:jc w:val="left"/>
              <w:textAlignment w:val="center"/>
              <w:rPr>
                <w:color w:val="000000"/>
              </w:rPr>
            </w:pPr>
            <w:r>
              <w:rPr>
                <w:rFonts w:ascii="Times New Roman" w:hAnsi="Times New Roman" w:eastAsia="Times New Roman" w:cs="Times New Roman"/>
                <w:color w:val="000000"/>
              </w:rPr>
              <w:t>19</w:t>
            </w:r>
            <w:r>
              <w:rPr>
                <w:rFonts w:ascii="楷体" w:hAnsi="楷体" w:eastAsia="楷体" w:cs="楷体"/>
                <w:color w:val="000000"/>
              </w:rPr>
              <w:t>世纪中叶至</w:t>
            </w:r>
            <w:r>
              <w:rPr>
                <w:rFonts w:ascii="Times New Roman" w:hAnsi="Times New Roman" w:eastAsia="Times New Roman" w:cs="Times New Roman"/>
                <w:color w:val="000000"/>
              </w:rPr>
              <w:t>20</w:t>
            </w:r>
            <w:r>
              <w:rPr>
                <w:rFonts w:ascii="楷体" w:hAnsi="楷体" w:eastAsia="楷体" w:cs="楷体"/>
                <w:color w:val="000000"/>
              </w:rPr>
              <w:t>世纪初</w:t>
            </w:r>
          </w:p>
        </w:tc>
        <w:tc>
          <w:tcPr>
            <w:tcW w:w="57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3F6A8AE">
            <w:pPr>
              <w:spacing w:line="360" w:lineRule="auto"/>
              <w:jc w:val="left"/>
              <w:textAlignment w:val="center"/>
              <w:rPr>
                <w:color w:val="000000"/>
              </w:rPr>
            </w:pPr>
            <w:r>
              <w:rPr>
                <w:rFonts w:ascii="楷体" w:hAnsi="楷体" w:eastAsia="楷体" w:cs="楷体"/>
                <w:color w:val="000000"/>
              </w:rPr>
              <w:t>橡胶、油棕、咖啡、水稻、甘蔗等</w:t>
            </w:r>
          </w:p>
        </w:tc>
      </w:tr>
      <w:tr w14:paraId="3E3DF4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1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0D344D">
            <w:pPr>
              <w:spacing w:line="360" w:lineRule="auto"/>
              <w:jc w:val="left"/>
              <w:textAlignment w:val="center"/>
              <w:rPr>
                <w:color w:val="000000"/>
              </w:rPr>
            </w:pPr>
            <w:r>
              <w:rPr>
                <w:rFonts w:ascii="Times New Roman" w:hAnsi="Times New Roman" w:eastAsia="Times New Roman" w:cs="Times New Roman"/>
                <w:color w:val="000000"/>
              </w:rPr>
              <w:t>20</w:t>
            </w:r>
            <w:r>
              <w:rPr>
                <w:rFonts w:ascii="楷体" w:hAnsi="楷体" w:eastAsia="楷体" w:cs="楷体"/>
                <w:color w:val="000000"/>
              </w:rPr>
              <w:t>世纪中叶以后</w:t>
            </w:r>
          </w:p>
        </w:tc>
        <w:tc>
          <w:tcPr>
            <w:tcW w:w="57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A5B8D4">
            <w:pPr>
              <w:spacing w:line="360" w:lineRule="auto"/>
              <w:jc w:val="left"/>
              <w:textAlignment w:val="center"/>
              <w:rPr>
                <w:color w:val="000000"/>
              </w:rPr>
            </w:pPr>
            <w:r>
              <w:rPr>
                <w:rFonts w:ascii="楷体" w:hAnsi="楷体" w:eastAsia="楷体" w:cs="楷体"/>
                <w:color w:val="000000"/>
              </w:rPr>
              <w:t>橡胶、油棕、蕉麻、可可、咖啡、水稻、甘蔗等</w:t>
            </w:r>
          </w:p>
        </w:tc>
      </w:tr>
    </w:tbl>
    <w:p w14:paraId="1EFA1343">
      <w:pPr>
        <w:spacing w:line="360" w:lineRule="auto"/>
        <w:jc w:val="left"/>
        <w:textAlignment w:val="center"/>
        <w:rPr>
          <w:color w:val="000000"/>
        </w:rPr>
      </w:pPr>
    </w:p>
    <w:p w14:paraId="2D2D9AE2">
      <w:pPr>
        <w:spacing w:line="360" w:lineRule="auto"/>
        <w:jc w:val="left"/>
        <w:textAlignment w:val="center"/>
        <w:rPr>
          <w:color w:val="000000"/>
        </w:rPr>
      </w:pPr>
      <w:r>
        <w:rPr>
          <w:color w:val="000000"/>
        </w:rPr>
        <w:t xml:space="preserve">19. </w:t>
      </w:r>
      <w:r>
        <w:rPr>
          <w:rFonts w:ascii="Times New Roman" w:hAnsi="Times New Roman" w:eastAsia="Times New Roman" w:cs="Times New Roman"/>
          <w:color w:val="000000"/>
        </w:rPr>
        <w:t>16</w:t>
      </w:r>
      <w:r>
        <w:rPr>
          <w:rFonts w:ascii="宋体" w:hAnsi="宋体" w:eastAsia="宋体" w:cs="宋体"/>
          <w:color w:val="000000"/>
        </w:rPr>
        <w:t>世纪，东南亚农业种植结构的转变，是因为（</w:t>
      </w:r>
      <w:r>
        <w:rPr>
          <w:rFonts w:ascii="Times New Roman" w:hAnsi="Times New Roman" w:eastAsia="Times New Roman" w:cs="Times New Roman"/>
          <w:color w:val="000000"/>
        </w:rPr>
        <w:t xml:space="preserve">   </w:t>
      </w:r>
      <w:r>
        <w:rPr>
          <w:rFonts w:ascii="宋体" w:hAnsi="宋体" w:eastAsia="宋体" w:cs="宋体"/>
          <w:color w:val="000000"/>
        </w:rPr>
        <w:t>）</w:t>
      </w:r>
    </w:p>
    <w:p w14:paraId="03DEBD0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土地支配权的变化</w:t>
      </w:r>
      <w:r>
        <w:rPr>
          <w:color w:val="000000"/>
        </w:rPr>
        <w:tab/>
      </w:r>
      <w:r>
        <w:rPr>
          <w:color w:val="000000"/>
        </w:rPr>
        <w:t xml:space="preserve">B. </w:t>
      </w:r>
      <w:r>
        <w:rPr>
          <w:rFonts w:ascii="宋体" w:hAnsi="宋体" w:eastAsia="宋体" w:cs="宋体"/>
          <w:color w:val="000000"/>
        </w:rPr>
        <w:t>国家间的互惠贸易</w:t>
      </w:r>
    </w:p>
    <w:p w14:paraId="6FBC7A3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本地消费市场扩大</w:t>
      </w:r>
      <w:r>
        <w:rPr>
          <w:color w:val="000000"/>
        </w:rPr>
        <w:tab/>
      </w:r>
      <w:r>
        <w:rPr>
          <w:color w:val="000000"/>
        </w:rPr>
        <w:t xml:space="preserve">D. </w:t>
      </w:r>
      <w:r>
        <w:rPr>
          <w:rFonts w:ascii="宋体" w:hAnsi="宋体" w:eastAsia="宋体" w:cs="宋体"/>
          <w:color w:val="000000"/>
        </w:rPr>
        <w:t>劳动生产效率提高</w:t>
      </w:r>
    </w:p>
    <w:p w14:paraId="570A1078">
      <w:pPr>
        <w:spacing w:line="360" w:lineRule="auto"/>
        <w:jc w:val="left"/>
        <w:textAlignment w:val="center"/>
        <w:rPr>
          <w:color w:val="000000"/>
        </w:rPr>
      </w:pPr>
      <w:r>
        <w:rPr>
          <w:color w:val="000000"/>
        </w:rPr>
        <w:t xml:space="preserve">20. </w:t>
      </w:r>
      <w:r>
        <w:rPr>
          <w:rFonts w:ascii="Times New Roman" w:hAnsi="Times New Roman" w:eastAsia="Times New Roman" w:cs="Times New Roman"/>
          <w:color w:val="000000"/>
        </w:rPr>
        <w:t>19</w:t>
      </w:r>
      <w:r>
        <w:rPr>
          <w:rFonts w:ascii="宋体" w:hAnsi="宋体" w:eastAsia="宋体" w:cs="宋体"/>
          <w:color w:val="000000"/>
        </w:rPr>
        <w:t>世纪中叶，东南亚农业种植结构再次发生变化，与其直接相关的产业是（</w:t>
      </w:r>
      <w:r>
        <w:rPr>
          <w:rFonts w:ascii="Times New Roman" w:hAnsi="Times New Roman" w:eastAsia="Times New Roman" w:cs="Times New Roman"/>
          <w:color w:val="000000"/>
        </w:rPr>
        <w:t xml:space="preserve">   </w:t>
      </w:r>
      <w:r>
        <w:rPr>
          <w:rFonts w:ascii="宋体" w:hAnsi="宋体" w:eastAsia="宋体" w:cs="宋体"/>
          <w:color w:val="000000"/>
        </w:rPr>
        <w:t>）</w:t>
      </w:r>
    </w:p>
    <w:p w14:paraId="56EDB9C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纺织加工</w:t>
      </w:r>
      <w:r>
        <w:rPr>
          <w:color w:val="000000"/>
        </w:rPr>
        <w:tab/>
      </w:r>
      <w:r>
        <w:rPr>
          <w:color w:val="000000"/>
        </w:rPr>
        <w:t xml:space="preserve">B. </w:t>
      </w:r>
      <w:r>
        <w:rPr>
          <w:rFonts w:ascii="宋体" w:hAnsi="宋体" w:eastAsia="宋体" w:cs="宋体"/>
          <w:color w:val="000000"/>
        </w:rPr>
        <w:t>钢铁冶炼</w:t>
      </w:r>
      <w:r>
        <w:rPr>
          <w:color w:val="000000"/>
        </w:rPr>
        <w:tab/>
      </w:r>
      <w:r>
        <w:rPr>
          <w:color w:val="000000"/>
        </w:rPr>
        <w:t xml:space="preserve">C. </w:t>
      </w:r>
      <w:r>
        <w:rPr>
          <w:rFonts w:ascii="宋体" w:hAnsi="宋体" w:eastAsia="宋体" w:cs="宋体"/>
          <w:color w:val="000000"/>
        </w:rPr>
        <w:t>汽车制造</w:t>
      </w:r>
      <w:r>
        <w:rPr>
          <w:color w:val="000000"/>
        </w:rPr>
        <w:tab/>
      </w:r>
      <w:r>
        <w:rPr>
          <w:color w:val="000000"/>
        </w:rPr>
        <w:t xml:space="preserve">D. </w:t>
      </w:r>
      <w:r>
        <w:rPr>
          <w:rFonts w:ascii="宋体" w:hAnsi="宋体" w:eastAsia="宋体" w:cs="宋体"/>
          <w:color w:val="000000"/>
        </w:rPr>
        <w:t>煤炭开采</w:t>
      </w:r>
    </w:p>
    <w:p w14:paraId="6A523A80">
      <w:pPr>
        <w:spacing w:line="360" w:lineRule="auto"/>
        <w:jc w:val="left"/>
        <w:textAlignment w:val="center"/>
        <w:rPr>
          <w:color w:val="000000"/>
        </w:rPr>
      </w:pPr>
      <w:r>
        <w:rPr>
          <w:color w:val="000000"/>
        </w:rPr>
        <w:t xml:space="preserve">21. </w:t>
      </w:r>
      <w:r>
        <w:rPr>
          <w:rFonts w:ascii="宋体" w:hAnsi="宋体" w:eastAsia="宋体" w:cs="宋体"/>
          <w:color w:val="000000"/>
        </w:rPr>
        <w:t>近几十年，东南亚油棕种植面积扩大，能够解释该现象的概念是（</w:t>
      </w:r>
      <w:r>
        <w:rPr>
          <w:rFonts w:ascii="Times New Roman" w:hAnsi="Times New Roman" w:eastAsia="Times New Roman" w:cs="Times New Roman"/>
          <w:color w:val="000000"/>
        </w:rPr>
        <w:t xml:space="preserve">   </w:t>
      </w:r>
      <w:r>
        <w:rPr>
          <w:rFonts w:ascii="宋体" w:hAnsi="宋体" w:eastAsia="宋体" w:cs="宋体"/>
          <w:color w:val="000000"/>
        </w:rPr>
        <w:t>）</w:t>
      </w:r>
    </w:p>
    <w:p w14:paraId="48DFA3F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国际贸易区域化</w:t>
      </w:r>
      <w:r>
        <w:rPr>
          <w:color w:val="000000"/>
        </w:rPr>
        <w:tab/>
      </w:r>
      <w:r>
        <w:rPr>
          <w:color w:val="000000"/>
        </w:rPr>
        <w:t xml:space="preserve">B. </w:t>
      </w:r>
      <w:r>
        <w:rPr>
          <w:rFonts w:ascii="宋体" w:hAnsi="宋体" w:eastAsia="宋体" w:cs="宋体"/>
          <w:color w:val="000000"/>
        </w:rPr>
        <w:t>区域环境差异化</w:t>
      </w:r>
      <w:r>
        <w:rPr>
          <w:color w:val="000000"/>
        </w:rPr>
        <w:tab/>
      </w:r>
      <w:r>
        <w:rPr>
          <w:color w:val="000000"/>
        </w:rPr>
        <w:t xml:space="preserve">C. </w:t>
      </w:r>
      <w:r>
        <w:rPr>
          <w:rFonts w:ascii="宋体" w:hAnsi="宋体" w:eastAsia="宋体" w:cs="宋体"/>
          <w:color w:val="000000"/>
        </w:rPr>
        <w:t>农业生产机械化</w:t>
      </w:r>
      <w:r>
        <w:rPr>
          <w:color w:val="000000"/>
        </w:rPr>
        <w:tab/>
      </w:r>
      <w:r>
        <w:rPr>
          <w:color w:val="000000"/>
        </w:rPr>
        <w:t xml:space="preserve">D. </w:t>
      </w:r>
      <w:r>
        <w:rPr>
          <w:rFonts w:ascii="宋体" w:hAnsi="宋体" w:eastAsia="宋体" w:cs="宋体"/>
          <w:color w:val="000000"/>
        </w:rPr>
        <w:t>全球经济一体化</w:t>
      </w:r>
    </w:p>
    <w:p w14:paraId="6EE09A3F">
      <w:pPr>
        <w:spacing w:line="360" w:lineRule="auto"/>
        <w:textAlignment w:val="center"/>
        <w:rPr>
          <w:color w:val="000000"/>
        </w:rPr>
      </w:pPr>
      <w:r>
        <w:rPr>
          <w:color w:val="2E75B6"/>
        </w:rPr>
        <w:t>【答案】</w:t>
      </w:r>
      <w:r>
        <w:rPr>
          <w:color w:val="000000"/>
        </w:rPr>
        <w:t>19. A    20. C    21. D</w:t>
      </w:r>
    </w:p>
    <w:p w14:paraId="2DBA3430">
      <w:pPr>
        <w:spacing w:line="360" w:lineRule="auto"/>
        <w:textAlignment w:val="center"/>
        <w:rPr>
          <w:color w:val="000000"/>
        </w:rPr>
      </w:pPr>
      <w:r>
        <w:rPr>
          <w:color w:val="2E75B6"/>
        </w:rPr>
        <w:t>【解析】</w:t>
      </w:r>
    </w:p>
    <w:p w14:paraId="3D41CCA7">
      <w:pPr>
        <w:spacing w:line="360" w:lineRule="auto"/>
        <w:textAlignment w:val="center"/>
        <w:rPr>
          <w:color w:val="000000"/>
        </w:rPr>
      </w:pPr>
      <w:r>
        <w:rPr>
          <w:color w:val="000000"/>
        </w:rPr>
        <w:t>【19题详解】</w:t>
      </w:r>
    </w:p>
    <w:p w14:paraId="68FA49CF">
      <w:pPr>
        <w:spacing w:line="360" w:lineRule="auto"/>
        <w:jc w:val="left"/>
        <w:textAlignment w:val="center"/>
        <w:rPr>
          <w:color w:val="000000"/>
        </w:rPr>
      </w:pPr>
      <w:r>
        <w:rPr>
          <w:color w:val="000000"/>
        </w:rPr>
        <w:t>16世纪，欧洲殖民者进入东南亚，控制土地并推广经济作物（如丁香、胡椒等），使得土地支配权发生变化，导致农业种植结构转变，A正确；殖民贸易具有掠夺性，并非互惠，B错误；新增作物主要用于出口，本地消费市场未显著扩大，C错误；劳动生产效率提高会降低成本，并不会导致农业种植结构发生转变，D错误。故选A。</w:t>
      </w:r>
    </w:p>
    <w:p w14:paraId="740C0CCD">
      <w:pPr>
        <w:spacing w:line="360" w:lineRule="auto"/>
        <w:jc w:val="left"/>
        <w:textAlignment w:val="center"/>
        <w:rPr>
          <w:color w:val="000000"/>
        </w:rPr>
      </w:pPr>
      <w:r>
        <w:rPr>
          <w:color w:val="000000"/>
        </w:rPr>
        <w:t>【20题详解】</w:t>
      </w:r>
    </w:p>
    <w:p w14:paraId="0FE4B8B1">
      <w:pPr>
        <w:spacing w:line="360" w:lineRule="auto"/>
        <w:jc w:val="left"/>
        <w:textAlignment w:val="center"/>
        <w:rPr>
          <w:color w:val="000000"/>
        </w:rPr>
      </w:pPr>
      <w:r>
        <w:rPr>
          <w:color w:val="000000"/>
        </w:rPr>
        <w:t>19世纪中叶至20世纪初，农作物增加了橡胶和油棕。纺织加工与橡胶、油棕关联较小，A错误；钢铁冶炼不直接依赖橡胶，B错误；19世纪中叶，汽车制造业兴起，橡胶作为轮胎原料需求激增，C符合题意；煤炭开采与橡胶种植无直接关联，D错误。故选C。</w:t>
      </w:r>
    </w:p>
    <w:p w14:paraId="37AC97D0">
      <w:pPr>
        <w:spacing w:line="360" w:lineRule="auto"/>
        <w:jc w:val="left"/>
        <w:textAlignment w:val="center"/>
        <w:rPr>
          <w:color w:val="000000"/>
        </w:rPr>
      </w:pPr>
      <w:r>
        <w:rPr>
          <w:color w:val="000000"/>
        </w:rPr>
        <w:t>【21题详解】</w:t>
      </w:r>
    </w:p>
    <w:p w14:paraId="34B4E677">
      <w:pPr>
        <w:spacing w:line="360" w:lineRule="auto"/>
        <w:jc w:val="left"/>
        <w:textAlignment w:val="center"/>
        <w:rPr>
          <w:color w:val="000000"/>
        </w:rPr>
      </w:pPr>
      <w:r>
        <w:rPr>
          <w:color w:val="000000"/>
        </w:rPr>
        <w:t>国际贸易区域化侧重区域合作，而油棕面向全球市场，A错误；区域环境存在差异，使各地适合种植不同的作物，而单一作物种植面积扩大，与区域环境差异化关系不大，B错误；油棕为经济林，农业生产机械化对油棕种植影响不大，油棕种植面积扩大主要是满足市场需求，C错误；全球经济一体化促进东南亚专业化生产油棕以满足国际需求，D符合题意。故选D。</w:t>
      </w:r>
    </w:p>
    <w:p w14:paraId="33F4F8F7">
      <w:pPr>
        <w:spacing w:line="360" w:lineRule="auto"/>
        <w:jc w:val="left"/>
        <w:textAlignment w:val="center"/>
        <w:rPr>
          <w:color w:val="000000"/>
        </w:rPr>
      </w:pPr>
      <w:r>
        <w:rPr>
          <w:color w:val="000000"/>
        </w:rPr>
        <w:t>【点睛】东南亚地区的油棕种植面积主要集中在马来西亚和印度尼西亚两国。根据最新的数据，马来西亚的油棕种植面积超过500万公顷，是全球第二大棕榈油生产国。印度尼西亚也是全球最大的棕榈油生产国，其油棕种植面积在2018年达到1490万公顷。近年来，由于全球对棕榈油需求的增加，两国的油棕种植面积持续扩大。</w:t>
      </w:r>
    </w:p>
    <w:p w14:paraId="2CE16750">
      <w:pPr>
        <w:spacing w:line="360" w:lineRule="auto"/>
        <w:ind w:firstLine="420"/>
        <w:jc w:val="left"/>
        <w:textAlignment w:val="center"/>
        <w:rPr>
          <w:color w:val="000000"/>
        </w:rPr>
      </w:pPr>
      <w:r>
        <w:rPr>
          <w:rFonts w:ascii="楷体" w:hAnsi="楷体" w:eastAsia="楷体" w:cs="楷体"/>
          <w:color w:val="000000"/>
        </w:rPr>
        <w:t>乡村聚落的选址与人们的生产生活紧密相关，下图为</w:t>
      </w:r>
      <w:r>
        <w:rPr>
          <w:rFonts w:ascii="宋体" w:hAnsi="宋体" w:eastAsia="宋体" w:cs="宋体"/>
          <w:color w:val="000000"/>
        </w:rPr>
        <w:t>“</w:t>
      </w:r>
      <w:r>
        <w:rPr>
          <w:rFonts w:ascii="楷体" w:hAnsi="楷体" w:eastAsia="楷体" w:cs="楷体"/>
          <w:color w:val="000000"/>
        </w:rPr>
        <w:t>我国西北某地乡村聚落四种模式图</w:t>
      </w:r>
      <w:r>
        <w:rPr>
          <w:rFonts w:ascii="宋体" w:hAnsi="宋体" w:eastAsia="宋体" w:cs="宋体"/>
          <w:color w:val="000000"/>
        </w:rPr>
        <w:t>”</w:t>
      </w:r>
      <w:r>
        <w:rPr>
          <w:rFonts w:ascii="楷体" w:hAnsi="楷体" w:eastAsia="楷体" w:cs="楷体"/>
          <w:color w:val="000000"/>
        </w:rPr>
        <w:t>，完成下面小题。</w:t>
      </w:r>
    </w:p>
    <w:p w14:paraId="26630532">
      <w:pPr>
        <w:spacing w:line="360" w:lineRule="auto"/>
        <w:jc w:val="left"/>
        <w:textAlignment w:val="center"/>
        <w:rPr>
          <w:color w:val="000000"/>
        </w:rPr>
      </w:pPr>
      <w:r>
        <w:rPr>
          <w:color w:val="000000"/>
        </w:rPr>
        <w:drawing>
          <wp:inline distT="0" distB="0" distL="114300" distR="114300">
            <wp:extent cx="2600325" cy="1304925"/>
            <wp:effectExtent l="0" t="0" r="9525"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2600325" cy="1304925"/>
                    </a:xfrm>
                    <a:prstGeom prst="rect">
                      <a:avLst/>
                    </a:prstGeom>
                  </pic:spPr>
                </pic:pic>
              </a:graphicData>
            </a:graphic>
          </wp:inline>
        </w:drawing>
      </w:r>
      <w:r>
        <w:rPr>
          <w:color w:val="000000"/>
        </w:rPr>
        <w:drawing>
          <wp:inline distT="0" distB="0" distL="114300" distR="114300">
            <wp:extent cx="2419350" cy="1304925"/>
            <wp:effectExtent l="0" t="0" r="0"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2419350" cy="1304925"/>
                    </a:xfrm>
                    <a:prstGeom prst="rect">
                      <a:avLst/>
                    </a:prstGeom>
                  </pic:spPr>
                </pic:pic>
              </a:graphicData>
            </a:graphic>
          </wp:inline>
        </w:drawing>
      </w:r>
    </w:p>
    <w:p w14:paraId="6D57EBBF">
      <w:pPr>
        <w:spacing w:line="360" w:lineRule="auto"/>
        <w:jc w:val="left"/>
        <w:textAlignment w:val="center"/>
        <w:rPr>
          <w:color w:val="000000"/>
        </w:rPr>
      </w:pPr>
      <w:r>
        <w:rPr>
          <w:color w:val="000000"/>
        </w:rPr>
        <w:t xml:space="preserve">22. </w:t>
      </w:r>
      <w:r>
        <w:rPr>
          <w:rFonts w:ascii="宋体" w:hAnsi="宋体" w:eastAsia="宋体" w:cs="宋体"/>
          <w:color w:val="000000"/>
        </w:rPr>
        <w:t>四种模式中，农业活动空间范围最大的是（</w:t>
      </w:r>
      <w:r>
        <w:rPr>
          <w:rFonts w:ascii="Times New Roman" w:hAnsi="Times New Roman" w:eastAsia="Times New Roman" w:cs="Times New Roman"/>
          <w:color w:val="000000"/>
        </w:rPr>
        <w:t xml:space="preserve">   </w:t>
      </w:r>
      <w:r>
        <w:rPr>
          <w:rFonts w:ascii="宋体" w:hAnsi="宋体" w:eastAsia="宋体" w:cs="宋体"/>
          <w:color w:val="000000"/>
        </w:rPr>
        <w:t>）</w:t>
      </w:r>
    </w:p>
    <w:p w14:paraId="0B1F6F9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w:t>
      </w:r>
      <w:r>
        <w:rPr>
          <w:color w:val="000000"/>
        </w:rPr>
        <w:tab/>
      </w:r>
      <w:r>
        <w:rPr>
          <w:color w:val="000000"/>
        </w:rPr>
        <w:t xml:space="preserve">B. </w:t>
      </w:r>
      <w:r>
        <w:rPr>
          <w:rFonts w:ascii="宋体" w:hAnsi="宋体" w:eastAsia="宋体" w:cs="宋体"/>
          <w:color w:val="000000"/>
        </w:rPr>
        <w:t>②</w:t>
      </w:r>
      <w:r>
        <w:rPr>
          <w:color w:val="000000"/>
        </w:rPr>
        <w:tab/>
      </w:r>
      <w:r>
        <w:rPr>
          <w:color w:val="000000"/>
        </w:rPr>
        <w:t xml:space="preserve">C. </w:t>
      </w:r>
      <w:r>
        <w:rPr>
          <w:rFonts w:ascii="宋体" w:hAnsi="宋体" w:eastAsia="宋体" w:cs="宋体"/>
          <w:color w:val="000000"/>
        </w:rPr>
        <w:t>③</w:t>
      </w:r>
      <w:r>
        <w:rPr>
          <w:color w:val="000000"/>
        </w:rPr>
        <w:tab/>
      </w:r>
      <w:r>
        <w:rPr>
          <w:color w:val="000000"/>
        </w:rPr>
        <w:t xml:space="preserve">D. </w:t>
      </w:r>
      <w:r>
        <w:rPr>
          <w:rFonts w:ascii="宋体" w:hAnsi="宋体" w:eastAsia="宋体" w:cs="宋体"/>
          <w:color w:val="000000"/>
        </w:rPr>
        <w:t>④</w:t>
      </w:r>
    </w:p>
    <w:p w14:paraId="018216B8">
      <w:pPr>
        <w:spacing w:line="360" w:lineRule="auto"/>
        <w:jc w:val="left"/>
        <w:textAlignment w:val="center"/>
        <w:rPr>
          <w:color w:val="000000"/>
        </w:rPr>
      </w:pPr>
      <w:r>
        <w:rPr>
          <w:color w:val="000000"/>
        </w:rPr>
        <w:t xml:space="preserve">23. </w:t>
      </w:r>
      <w:r>
        <w:rPr>
          <w:rFonts w:ascii="宋体" w:hAnsi="宋体" w:eastAsia="宋体" w:cs="宋体"/>
          <w:color w:val="000000"/>
        </w:rPr>
        <w:t>提炼四种模式的主要依据是（</w:t>
      </w:r>
      <w:r>
        <w:rPr>
          <w:rFonts w:ascii="Times New Roman" w:hAnsi="Times New Roman" w:eastAsia="Times New Roman" w:cs="Times New Roman"/>
          <w:color w:val="000000"/>
        </w:rPr>
        <w:t xml:space="preserve">   </w:t>
      </w:r>
      <w:r>
        <w:rPr>
          <w:rFonts w:ascii="宋体" w:hAnsi="宋体" w:eastAsia="宋体" w:cs="宋体"/>
          <w:color w:val="000000"/>
        </w:rPr>
        <w:t>）</w:t>
      </w:r>
    </w:p>
    <w:p w14:paraId="31A161C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作物品种</w:t>
      </w:r>
      <w:r>
        <w:rPr>
          <w:color w:val="000000"/>
        </w:rPr>
        <w:tab/>
      </w:r>
      <w:r>
        <w:rPr>
          <w:color w:val="000000"/>
        </w:rPr>
        <w:t xml:space="preserve">B. </w:t>
      </w:r>
      <w:r>
        <w:rPr>
          <w:rFonts w:ascii="宋体" w:hAnsi="宋体" w:eastAsia="宋体" w:cs="宋体"/>
          <w:color w:val="000000"/>
        </w:rPr>
        <w:t>河流分布</w:t>
      </w:r>
      <w:r>
        <w:rPr>
          <w:color w:val="000000"/>
        </w:rPr>
        <w:tab/>
      </w:r>
      <w:r>
        <w:rPr>
          <w:color w:val="000000"/>
        </w:rPr>
        <w:t xml:space="preserve">C. </w:t>
      </w:r>
      <w:r>
        <w:rPr>
          <w:rFonts w:ascii="宋体" w:hAnsi="宋体" w:eastAsia="宋体" w:cs="宋体"/>
          <w:color w:val="000000"/>
        </w:rPr>
        <w:t>土地利用</w:t>
      </w:r>
      <w:r>
        <w:rPr>
          <w:color w:val="000000"/>
        </w:rPr>
        <w:tab/>
      </w:r>
      <w:r>
        <w:rPr>
          <w:color w:val="000000"/>
        </w:rPr>
        <w:t xml:space="preserve">D. </w:t>
      </w:r>
      <w:r>
        <w:rPr>
          <w:rFonts w:ascii="宋体" w:hAnsi="宋体" w:eastAsia="宋体" w:cs="宋体"/>
          <w:color w:val="000000"/>
        </w:rPr>
        <w:t>村庄规模</w:t>
      </w:r>
    </w:p>
    <w:p w14:paraId="6B1AB8CE">
      <w:pPr>
        <w:spacing w:line="360" w:lineRule="auto"/>
        <w:textAlignment w:val="center"/>
        <w:rPr>
          <w:color w:val="000000"/>
        </w:rPr>
      </w:pPr>
      <w:r>
        <w:rPr>
          <w:color w:val="2E75B6"/>
        </w:rPr>
        <w:t>【答案】</w:t>
      </w:r>
      <w:r>
        <w:rPr>
          <w:color w:val="000000"/>
        </w:rPr>
        <w:t>22. A    23. C</w:t>
      </w:r>
    </w:p>
    <w:p w14:paraId="0F6D6E32">
      <w:pPr>
        <w:spacing w:line="360" w:lineRule="auto"/>
        <w:textAlignment w:val="center"/>
        <w:rPr>
          <w:color w:val="000000"/>
        </w:rPr>
      </w:pPr>
      <w:r>
        <w:rPr>
          <w:color w:val="2E75B6"/>
        </w:rPr>
        <w:t>【解析】</w:t>
      </w:r>
    </w:p>
    <w:p w14:paraId="52C8D230">
      <w:pPr>
        <w:spacing w:line="360" w:lineRule="auto"/>
        <w:textAlignment w:val="center"/>
        <w:rPr>
          <w:color w:val="000000"/>
        </w:rPr>
      </w:pPr>
      <w:r>
        <w:rPr>
          <w:color w:val="000000"/>
        </w:rPr>
        <w:t>【22题详解】</w:t>
      </w:r>
    </w:p>
    <w:p w14:paraId="64AF90E8">
      <w:pPr>
        <w:spacing w:line="360" w:lineRule="auto"/>
        <w:jc w:val="left"/>
        <w:textAlignment w:val="center"/>
        <w:rPr>
          <w:color w:val="000000"/>
        </w:rPr>
      </w:pPr>
      <w:r>
        <w:rPr>
          <w:color w:val="000000"/>
        </w:rPr>
        <w:t>图中可看出，①模式中村落周围均为耕地，耕地是农业活动空间，故农业活动空间范围最大的是①模式，A正确；②模式中，林草地分布区可能有部分区域不适合发展农业活动，如深山密林，③④模式中农业活动空间受山地的限制，均不如①模式农业活动空间范围大，BCD错误。故选A。</w:t>
      </w:r>
    </w:p>
    <w:p w14:paraId="102C47A5">
      <w:pPr>
        <w:spacing w:line="360" w:lineRule="auto"/>
        <w:jc w:val="left"/>
        <w:textAlignment w:val="center"/>
        <w:rPr>
          <w:color w:val="000000"/>
        </w:rPr>
      </w:pPr>
      <w:r>
        <w:rPr>
          <w:color w:val="000000"/>
        </w:rPr>
        <w:t>【23题详解】</w:t>
      </w:r>
    </w:p>
    <w:p w14:paraId="7436B214">
      <w:pPr>
        <w:spacing w:line="360" w:lineRule="auto"/>
        <w:jc w:val="left"/>
        <w:textAlignment w:val="center"/>
        <w:rPr>
          <w:color w:val="000000"/>
        </w:rPr>
      </w:pPr>
      <w:r>
        <w:rPr>
          <w:color w:val="000000"/>
        </w:rPr>
        <w:t>图中各模式中，林草地、耕地分布不同，体现了不同模式土地利用方式的不同，故提炼四种模式的主要依据是土地利用方式的差异，C正确；四种模式图没有体现村落规模差异，故村落规模不是提炼四种模式的主要依据，D错误；四种模式图未涉及水热条件等，也没有体现作物品种差异，A错误；③④模式中均无河流分布，故提炼四种模式的主要依据不是河流分布，B错误。故选C。</w:t>
      </w:r>
    </w:p>
    <w:p w14:paraId="7E6F635B">
      <w:pPr>
        <w:spacing w:line="360" w:lineRule="auto"/>
        <w:jc w:val="left"/>
        <w:textAlignment w:val="center"/>
        <w:rPr>
          <w:color w:val="000000"/>
        </w:rPr>
      </w:pPr>
      <w:r>
        <w:rPr>
          <w:color w:val="000000"/>
        </w:rPr>
        <w:t>【点睛】影响聚落分布</w:t>
      </w:r>
      <w:r>
        <w:rPr>
          <w:color w:val="000000"/>
          <w:position w:val="0"/>
        </w:rPr>
        <w:drawing>
          <wp:inline distT="0" distB="0" distL="114300" distR="114300">
            <wp:extent cx="133350" cy="177800"/>
            <wp:effectExtent l="0" t="0" r="0" b="13335"/>
            <wp:docPr id="1188719393" name="图片 1188719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719393" name="图片 1188719393"/>
                    <pic:cNvPicPr>
                      <a:picLocks noChangeAspect="1"/>
                    </pic:cNvPicPr>
                  </pic:nvPicPr>
                  <pic:blipFill>
                    <a:blip r:embed="rId17"/>
                    <a:stretch>
                      <a:fillRect/>
                    </a:stretch>
                  </pic:blipFill>
                  <pic:spPr>
                    <a:xfrm>
                      <a:off x="0" y="0"/>
                      <a:ext cx="133350" cy="177800"/>
                    </a:xfrm>
                    <a:prstGeom prst="rect">
                      <a:avLst/>
                    </a:prstGeom>
                  </pic:spPr>
                </pic:pic>
              </a:graphicData>
            </a:graphic>
          </wp:inline>
        </w:drawing>
      </w:r>
      <w:r>
        <w:rPr>
          <w:color w:val="000000"/>
        </w:rPr>
        <w:t>因素：1、自然因素：地形、气候、水源、自然资源；2、社会经济因素：影响村庄聚落的因素除自然地理环境外，还受社会经济文化因素的制约。如农业生产方式，经济发展传统风俗习惯、文化背景、政治、军事、宗教交通等。</w:t>
      </w:r>
    </w:p>
    <w:p w14:paraId="490CEDE8">
      <w:pPr>
        <w:spacing w:line="285" w:lineRule="auto"/>
        <w:jc w:val="left"/>
        <w:textAlignment w:val="center"/>
        <w:rPr>
          <w:color w:val="000000"/>
        </w:rPr>
      </w:pPr>
      <w:r>
        <w:rPr>
          <w:rFonts w:ascii="宋体" w:hAnsi="宋体" w:eastAsia="宋体" w:cs="宋体"/>
          <w:b/>
          <w:color w:val="000000"/>
          <w:sz w:val="24"/>
        </w:rPr>
        <w:t>二、非选择题：共</w:t>
      </w:r>
      <w:r>
        <w:rPr>
          <w:rFonts w:ascii="Times New Roman" w:hAnsi="Times New Roman" w:eastAsia="Times New Roman" w:cs="Times New Roman"/>
          <w:b/>
          <w:color w:val="000000"/>
          <w:sz w:val="24"/>
        </w:rPr>
        <w:t>3</w:t>
      </w:r>
      <w:r>
        <w:rPr>
          <w:rFonts w:ascii="宋体" w:hAnsi="宋体" w:eastAsia="宋体" w:cs="宋体"/>
          <w:b/>
          <w:color w:val="000000"/>
          <w:sz w:val="24"/>
        </w:rPr>
        <w:t>题，共</w:t>
      </w:r>
      <w:r>
        <w:rPr>
          <w:rFonts w:ascii="Times New Roman" w:hAnsi="Times New Roman" w:eastAsia="Times New Roman" w:cs="Times New Roman"/>
          <w:b/>
          <w:color w:val="000000"/>
          <w:sz w:val="24"/>
        </w:rPr>
        <w:t>54</w:t>
      </w:r>
      <w:r>
        <w:rPr>
          <w:rFonts w:ascii="宋体" w:hAnsi="宋体" w:eastAsia="宋体" w:cs="宋体"/>
          <w:b/>
          <w:color w:val="000000"/>
          <w:sz w:val="24"/>
        </w:rPr>
        <w:t>分。</w:t>
      </w:r>
    </w:p>
    <w:p w14:paraId="24AB0008">
      <w:pPr>
        <w:spacing w:line="360" w:lineRule="auto"/>
        <w:jc w:val="left"/>
        <w:textAlignment w:val="center"/>
        <w:rPr>
          <w:color w:val="000000"/>
        </w:rPr>
      </w:pPr>
      <w:r>
        <w:rPr>
          <w:color w:val="000000"/>
        </w:rPr>
        <w:t xml:space="preserve">24. </w:t>
      </w:r>
      <w:r>
        <w:rPr>
          <w:rFonts w:ascii="宋体" w:hAnsi="宋体" w:eastAsia="宋体" w:cs="宋体"/>
          <w:color w:val="000000"/>
        </w:rPr>
        <w:t>阅读材料，回答下列问题。</w:t>
      </w:r>
    </w:p>
    <w:p w14:paraId="78682C37">
      <w:pPr>
        <w:spacing w:line="360" w:lineRule="auto"/>
        <w:ind w:firstLine="420"/>
        <w:jc w:val="left"/>
        <w:textAlignment w:val="center"/>
        <w:rPr>
          <w:color w:val="000000"/>
        </w:rPr>
      </w:pPr>
      <w:r>
        <w:rPr>
          <w:rFonts w:ascii="楷体" w:hAnsi="楷体" w:eastAsia="楷体" w:cs="楷体"/>
          <w:color w:val="000000"/>
        </w:rPr>
        <w:t>材料一:济州岛位于朝鲜半岛以南</w:t>
      </w:r>
      <w:r>
        <w:rPr>
          <w:rFonts w:ascii="Times New Roman" w:hAnsi="Times New Roman" w:eastAsia="Times New Roman" w:cs="Times New Roman"/>
          <w:color w:val="000000"/>
        </w:rPr>
        <w:t>82</w:t>
      </w:r>
      <w:r>
        <w:rPr>
          <w:rFonts w:ascii="楷体" w:hAnsi="楷体" w:eastAsia="楷体" w:cs="楷体"/>
          <w:color w:val="000000"/>
        </w:rPr>
        <w:t>.</w:t>
      </w:r>
      <w:r>
        <w:rPr>
          <w:rFonts w:ascii="Times New Roman" w:hAnsi="Times New Roman" w:eastAsia="Times New Roman" w:cs="Times New Roman"/>
          <w:color w:val="000000"/>
        </w:rPr>
        <w:t>8km</w:t>
      </w:r>
      <w:r>
        <w:rPr>
          <w:rFonts w:ascii="楷体" w:hAnsi="楷体" w:eastAsia="楷体" w:cs="楷体"/>
          <w:color w:val="000000"/>
        </w:rPr>
        <w:t>，纬度位置与我国秦岭—淮河一线相近，最高峰汉拿山海拔</w:t>
      </w:r>
      <w:r>
        <w:rPr>
          <w:rFonts w:ascii="Times New Roman" w:hAnsi="Times New Roman" w:eastAsia="Times New Roman" w:cs="Times New Roman"/>
          <w:color w:val="000000"/>
        </w:rPr>
        <w:t>1950m</w:t>
      </w:r>
      <w:r>
        <w:rPr>
          <w:rFonts w:ascii="楷体" w:hAnsi="楷体" w:eastAsia="楷体" w:cs="楷体"/>
          <w:color w:val="000000"/>
        </w:rPr>
        <w:t>，该岛最低月均温为</w:t>
      </w:r>
      <w:r>
        <w:rPr>
          <w:rFonts w:ascii="Times New Roman" w:hAnsi="Times New Roman" w:eastAsia="Times New Roman" w:cs="Times New Roman"/>
          <w:color w:val="000000"/>
        </w:rPr>
        <w:t>5</w:t>
      </w:r>
      <w:r>
        <w:rPr>
          <w:rFonts w:ascii="楷体" w:hAnsi="楷体" w:eastAsia="楷体" w:cs="楷体"/>
          <w:color w:val="000000"/>
        </w:rPr>
        <w:t>.</w:t>
      </w:r>
      <w:r>
        <w:rPr>
          <w:rFonts w:ascii="Times New Roman" w:hAnsi="Times New Roman" w:eastAsia="Times New Roman" w:cs="Times New Roman"/>
          <w:color w:val="000000"/>
        </w:rPr>
        <w:t>1</w:t>
      </w:r>
      <w:r>
        <w:rPr>
          <w:rFonts w:ascii="楷体" w:hAnsi="楷体" w:eastAsia="楷体" w:cs="楷体"/>
          <w:color w:val="000000"/>
        </w:rPr>
        <w:t>℃，出现在</w:t>
      </w:r>
      <w:r>
        <w:rPr>
          <w:rFonts w:ascii="Times New Roman" w:hAnsi="Times New Roman" w:eastAsia="Times New Roman" w:cs="Times New Roman"/>
          <w:color w:val="000000"/>
        </w:rPr>
        <w:t>1</w:t>
      </w:r>
      <w:r>
        <w:rPr>
          <w:rFonts w:ascii="楷体" w:hAnsi="楷体" w:eastAsia="楷体" w:cs="楷体"/>
          <w:color w:val="000000"/>
        </w:rPr>
        <w:t>月，最高月均温为</w:t>
      </w:r>
      <w:r>
        <w:rPr>
          <w:rFonts w:ascii="Times New Roman" w:hAnsi="Times New Roman" w:eastAsia="Times New Roman" w:cs="Times New Roman"/>
          <w:color w:val="000000"/>
        </w:rPr>
        <w:t>25</w:t>
      </w:r>
      <w:r>
        <w:rPr>
          <w:rFonts w:ascii="楷体" w:hAnsi="楷体" w:eastAsia="楷体" w:cs="楷体"/>
          <w:color w:val="000000"/>
        </w:rPr>
        <w:t>.</w:t>
      </w:r>
      <w:r>
        <w:rPr>
          <w:rFonts w:ascii="Times New Roman" w:hAnsi="Times New Roman" w:eastAsia="Times New Roman" w:cs="Times New Roman"/>
          <w:color w:val="000000"/>
        </w:rPr>
        <w:t>4</w:t>
      </w:r>
      <w:r>
        <w:rPr>
          <w:rFonts w:ascii="楷体" w:hAnsi="楷体" w:eastAsia="楷体" w:cs="楷体"/>
          <w:color w:val="000000"/>
        </w:rPr>
        <w:t>℃，出现在</w:t>
      </w:r>
      <w:r>
        <w:rPr>
          <w:rFonts w:ascii="Times New Roman" w:hAnsi="Times New Roman" w:eastAsia="Times New Roman" w:cs="Times New Roman"/>
          <w:color w:val="000000"/>
        </w:rPr>
        <w:t>8</w:t>
      </w:r>
      <w:r>
        <w:rPr>
          <w:rFonts w:ascii="楷体" w:hAnsi="楷体" w:eastAsia="楷体" w:cs="楷体"/>
          <w:color w:val="000000"/>
        </w:rPr>
        <w:t>月。</w:t>
      </w:r>
    </w:p>
    <w:p w14:paraId="1D3FE891">
      <w:pPr>
        <w:spacing w:line="360" w:lineRule="auto"/>
        <w:ind w:firstLine="420"/>
        <w:jc w:val="left"/>
        <w:textAlignment w:val="center"/>
        <w:rPr>
          <w:color w:val="000000"/>
        </w:rPr>
      </w:pPr>
      <w:r>
        <w:rPr>
          <w:rFonts w:ascii="楷体" w:hAnsi="楷体" w:eastAsia="楷体" w:cs="楷体"/>
          <w:color w:val="000000"/>
        </w:rPr>
        <w:t>材料二:图</w:t>
      </w:r>
      <w:r>
        <w:rPr>
          <w:rFonts w:ascii="Times New Roman" w:hAnsi="Times New Roman" w:eastAsia="Times New Roman" w:cs="Times New Roman"/>
          <w:color w:val="000000"/>
        </w:rPr>
        <w:t>1</w:t>
      </w:r>
      <w:r>
        <w:rPr>
          <w:rFonts w:ascii="楷体" w:hAnsi="楷体" w:eastAsia="楷体" w:cs="楷体"/>
          <w:color w:val="000000"/>
        </w:rPr>
        <w:t>为“济州岛位置及周边洋流分布示意图”，图</w:t>
      </w:r>
      <w:r>
        <w:rPr>
          <w:rFonts w:ascii="Times New Roman" w:hAnsi="Times New Roman" w:eastAsia="Times New Roman" w:cs="Times New Roman"/>
          <w:color w:val="000000"/>
        </w:rPr>
        <w:t>2</w:t>
      </w:r>
      <w:r>
        <w:rPr>
          <w:rFonts w:ascii="楷体" w:hAnsi="楷体" w:eastAsia="楷体" w:cs="楷体"/>
          <w:color w:val="000000"/>
        </w:rPr>
        <w:t>为“济州岛地形及年降水量分布图”。</w:t>
      </w:r>
    </w:p>
    <w:p w14:paraId="24CC0764">
      <w:pPr>
        <w:spacing w:line="360" w:lineRule="auto"/>
        <w:jc w:val="left"/>
        <w:textAlignment w:val="center"/>
        <w:rPr>
          <w:color w:val="000000"/>
        </w:rPr>
      </w:pPr>
      <w:r>
        <w:rPr>
          <w:color w:val="000000"/>
        </w:rPr>
        <w:drawing>
          <wp:inline distT="0" distB="0" distL="114300" distR="114300">
            <wp:extent cx="4686300" cy="264795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4686300" cy="2647950"/>
                    </a:xfrm>
                    <a:prstGeom prst="rect">
                      <a:avLst/>
                    </a:prstGeom>
                  </pic:spPr>
                </pic:pic>
              </a:graphicData>
            </a:graphic>
          </wp:inline>
        </w:drawing>
      </w:r>
    </w:p>
    <w:p w14:paraId="74E6879D">
      <w:pPr>
        <w:spacing w:line="360" w:lineRule="auto"/>
        <w:jc w:val="left"/>
        <w:textAlignment w:val="center"/>
        <w:rPr>
          <w:color w:val="000000"/>
        </w:rPr>
      </w:pPr>
      <w:r>
        <w:rPr>
          <w:color w:val="000000"/>
        </w:rPr>
        <w:t>（1）</w:t>
      </w:r>
      <w:r>
        <w:rPr>
          <w:rFonts w:ascii="宋体" w:hAnsi="宋体" w:eastAsia="宋体" w:cs="宋体"/>
          <w:color w:val="000000"/>
        </w:rPr>
        <w:t>描述济州岛的年降水量空间分布特征。</w:t>
      </w:r>
    </w:p>
    <w:p w14:paraId="16C5F2CA">
      <w:pPr>
        <w:spacing w:line="360" w:lineRule="auto"/>
        <w:jc w:val="left"/>
        <w:textAlignment w:val="center"/>
        <w:rPr>
          <w:color w:val="000000"/>
        </w:rPr>
      </w:pPr>
      <w:r>
        <w:rPr>
          <w:color w:val="000000"/>
        </w:rPr>
        <w:t>（2）</w:t>
      </w:r>
      <w:r>
        <w:rPr>
          <w:rFonts w:ascii="宋体" w:hAnsi="宋体" w:eastAsia="宋体" w:cs="宋体"/>
          <w:color w:val="000000"/>
        </w:rPr>
        <w:t>写出济州岛年降水量空间分布格局的影响因素。</w:t>
      </w:r>
    </w:p>
    <w:p w14:paraId="6FE7315D">
      <w:pPr>
        <w:spacing w:line="360" w:lineRule="auto"/>
        <w:jc w:val="left"/>
        <w:textAlignment w:val="center"/>
        <w:rPr>
          <w:color w:val="000000"/>
        </w:rPr>
      </w:pPr>
      <w:r>
        <w:rPr>
          <w:color w:val="000000"/>
        </w:rPr>
        <w:t>（3）</w:t>
      </w:r>
      <w:r>
        <w:rPr>
          <w:rFonts w:ascii="宋体" w:hAnsi="宋体" w:eastAsia="宋体" w:cs="宋体"/>
          <w:color w:val="000000"/>
        </w:rPr>
        <w:t>分析暖流对济州岛</w:t>
      </w:r>
      <w:r>
        <w:rPr>
          <w:rFonts w:ascii="Times New Roman" w:hAnsi="Times New Roman" w:eastAsia="Times New Roman" w:cs="Times New Roman"/>
          <w:color w:val="000000"/>
        </w:rPr>
        <w:t>1</w:t>
      </w:r>
      <w:r>
        <w:rPr>
          <w:rFonts w:ascii="宋体" w:hAnsi="宋体" w:eastAsia="宋体" w:cs="宋体"/>
          <w:color w:val="000000"/>
        </w:rPr>
        <w:t>月气温的影响，并写出参照依据。</w:t>
      </w:r>
    </w:p>
    <w:p w14:paraId="1A20D1D3">
      <w:pPr>
        <w:spacing w:line="360" w:lineRule="auto"/>
        <w:jc w:val="left"/>
        <w:textAlignment w:val="center"/>
        <w:rPr>
          <w:color w:val="000000"/>
        </w:rPr>
      </w:pPr>
      <w:r>
        <w:rPr>
          <w:color w:val="000000"/>
        </w:rPr>
        <w:t>（4）</w:t>
      </w:r>
      <w:r>
        <w:rPr>
          <w:rFonts w:ascii="宋体" w:hAnsi="宋体" w:eastAsia="宋体" w:cs="宋体"/>
          <w:color w:val="000000"/>
        </w:rPr>
        <w:t>济州岛最低月均温和最高月均温分别出现在</w:t>
      </w:r>
      <w:r>
        <w:rPr>
          <w:rFonts w:ascii="Times New Roman" w:hAnsi="Times New Roman" w:eastAsia="Times New Roman" w:cs="Times New Roman"/>
          <w:color w:val="000000"/>
        </w:rPr>
        <w:t>1</w:t>
      </w:r>
      <w:r>
        <w:rPr>
          <w:rFonts w:ascii="宋体" w:hAnsi="宋体" w:eastAsia="宋体" w:cs="宋体"/>
          <w:color w:val="000000"/>
        </w:rPr>
        <w:t>月和</w:t>
      </w:r>
      <w:r>
        <w:rPr>
          <w:rFonts w:ascii="Times New Roman" w:hAnsi="Times New Roman" w:eastAsia="Times New Roman" w:cs="Times New Roman"/>
          <w:color w:val="000000"/>
        </w:rPr>
        <w:t>8</w:t>
      </w:r>
      <w:r>
        <w:rPr>
          <w:rFonts w:ascii="宋体" w:hAnsi="宋体" w:eastAsia="宋体" w:cs="宋体"/>
          <w:color w:val="000000"/>
        </w:rPr>
        <w:t>月，与北半球大陆和海洋并不完全相同，请解释其原因。</w:t>
      </w:r>
    </w:p>
    <w:p w14:paraId="48284659">
      <w:pPr>
        <w:spacing w:line="360" w:lineRule="auto"/>
        <w:textAlignment w:val="center"/>
        <w:rPr>
          <w:color w:val="000000"/>
        </w:rPr>
      </w:pPr>
      <w:r>
        <w:rPr>
          <w:color w:val="2E75B6"/>
        </w:rPr>
        <w:t>【答案】</w:t>
      </w:r>
      <w:r>
        <w:rPr>
          <w:color w:val="000000"/>
        </w:rPr>
        <w:t xml:space="preserve">（1）降水量空间分布不均，由中部山区向四周递减；降水最大值位于汉拿山的东侧；总体上，汉拿山的东北侧降水量较多，汉拿山的西南侧降水量较少。    </w:t>
      </w:r>
    </w:p>
    <w:p w14:paraId="3E7E15DE">
      <w:pPr>
        <w:spacing w:line="360" w:lineRule="auto"/>
        <w:textAlignment w:val="center"/>
        <w:rPr>
          <w:color w:val="000000"/>
        </w:rPr>
      </w:pPr>
      <w:r>
        <w:rPr>
          <w:color w:val="000000"/>
        </w:rPr>
        <w:t xml:space="preserve">（2）地形、大气环流、洋流。    </w:t>
      </w:r>
    </w:p>
    <w:p w14:paraId="37F3FE2F">
      <w:pPr>
        <w:spacing w:line="360" w:lineRule="auto"/>
        <w:textAlignment w:val="center"/>
        <w:rPr>
          <w:color w:val="000000"/>
        </w:rPr>
      </w:pPr>
      <w:r>
        <w:rPr>
          <w:color w:val="000000"/>
        </w:rPr>
        <w:t xml:space="preserve">（3）影响：使气温升高。参照依据：我国秦岭—淮河一线是1月0℃等温线，秦岭—淮河一线的1月平均气温比济州岛的1月平均气温低，所以暖流对济州岛具有增温的作用。    </w:t>
      </w:r>
    </w:p>
    <w:p w14:paraId="4DB18FBE">
      <w:pPr>
        <w:spacing w:line="360" w:lineRule="auto"/>
        <w:textAlignment w:val="center"/>
        <w:rPr>
          <w:color w:val="000000"/>
        </w:rPr>
      </w:pPr>
      <w:r>
        <w:rPr>
          <w:color w:val="000000"/>
        </w:rPr>
        <w:t>（4）济州岛靠近大陆且四周环海，故其气候兼具大陆和海洋的特点。1月蒙古一西伯利亚高压势力最强，冬季风强劲，对济州岛降温作用明显，故济州岛全年最低月均温出现在1月；由于济州岛四面环海，受海洋作用明显；水的比热容较大，接受太阳辐射升温慢，故其最高月均温产生在8月，相对于陆地滞后。</w:t>
      </w:r>
    </w:p>
    <w:p w14:paraId="4C03956A">
      <w:pPr>
        <w:spacing w:line="360" w:lineRule="auto"/>
        <w:textAlignment w:val="center"/>
        <w:rPr>
          <w:color w:val="000000"/>
        </w:rPr>
      </w:pPr>
      <w:r>
        <w:rPr>
          <w:color w:val="2E75B6"/>
        </w:rPr>
        <w:t>【解析】</w:t>
      </w:r>
    </w:p>
    <w:p w14:paraId="77F27D2C">
      <w:pPr>
        <w:spacing w:line="360" w:lineRule="auto"/>
        <w:jc w:val="left"/>
        <w:textAlignment w:val="center"/>
        <w:rPr>
          <w:color w:val="000000"/>
        </w:rPr>
      </w:pPr>
      <w:r>
        <w:rPr>
          <w:color w:val="000000"/>
        </w:rPr>
        <w:t>【分析】本题以济州岛位置及周边洋流分布示意图和济州岛地形及年降水量分布图为材料设置题目，涉及年降水量空间分布特征描述、降水量和气温的影响因素、洋流对地理环境的影响等知识，考查学生调用地理知识的能力，体现区域认知、综合思维学科素养。</w:t>
      </w:r>
    </w:p>
    <w:p w14:paraId="2D1D43BD">
      <w:pPr>
        <w:spacing w:line="360" w:lineRule="auto"/>
        <w:jc w:val="left"/>
        <w:textAlignment w:val="center"/>
        <w:rPr>
          <w:color w:val="000000"/>
        </w:rPr>
      </w:pPr>
      <w:r>
        <w:rPr>
          <w:color w:val="000000"/>
        </w:rPr>
        <w:t>【小问1详解】</w:t>
      </w:r>
    </w:p>
    <w:p w14:paraId="7818406B">
      <w:pPr>
        <w:spacing w:line="360" w:lineRule="auto"/>
        <w:jc w:val="left"/>
        <w:textAlignment w:val="center"/>
        <w:rPr>
          <w:color w:val="000000"/>
        </w:rPr>
      </w:pPr>
      <w:r>
        <w:rPr>
          <w:color w:val="000000"/>
        </w:rPr>
        <w:t>地理事物分布特点描述从整体和局部两个方面进行分析。总体上济州岛的年降水量空间分布不均，汉拿山的东北侧的年降水量相对较多，西南侧的年降水量相对较少；局部方面：年降水量由中部山区向四周递减，极大值出现在汉拿山附近的东侧。</w:t>
      </w:r>
    </w:p>
    <w:p w14:paraId="4F6249B6">
      <w:pPr>
        <w:spacing w:line="360" w:lineRule="auto"/>
        <w:jc w:val="left"/>
        <w:textAlignment w:val="center"/>
        <w:rPr>
          <w:color w:val="000000"/>
        </w:rPr>
      </w:pPr>
      <w:r>
        <w:rPr>
          <w:color w:val="000000"/>
        </w:rPr>
        <w:t>【小问2详解】</w:t>
      </w:r>
    </w:p>
    <w:p w14:paraId="10BA7C15">
      <w:pPr>
        <w:spacing w:line="360" w:lineRule="auto"/>
        <w:jc w:val="left"/>
        <w:textAlignment w:val="center"/>
        <w:rPr>
          <w:color w:val="000000"/>
        </w:rPr>
      </w:pPr>
      <w:r>
        <w:rPr>
          <w:color w:val="000000"/>
        </w:rPr>
        <w:t>据图1所示济州岛受从低纬流向高纬的暖流影响，暖流对沿岸地区有增湿的影响，受暖流影响当地的年降水量较大；济州岛地处亚热带季风气候区，而该岛屿四面环海，岛屿中部高四周低，无论是夏季风还是冬季风都会形成迎风坡效应，因此年降水量较大。综上分析，济州岛年降水量空间分布格局的影响因素是地形、大气环流、洋流。</w:t>
      </w:r>
    </w:p>
    <w:p w14:paraId="44E8C529">
      <w:pPr>
        <w:spacing w:line="360" w:lineRule="auto"/>
        <w:jc w:val="left"/>
        <w:textAlignment w:val="center"/>
        <w:rPr>
          <w:color w:val="000000"/>
        </w:rPr>
      </w:pPr>
      <w:r>
        <w:rPr>
          <w:color w:val="000000"/>
        </w:rPr>
        <w:t>【小问3详解】</w:t>
      </w:r>
    </w:p>
    <w:p w14:paraId="2FC44319">
      <w:pPr>
        <w:spacing w:line="360" w:lineRule="auto"/>
        <w:jc w:val="left"/>
        <w:textAlignment w:val="center"/>
        <w:rPr>
          <w:color w:val="000000"/>
        </w:rPr>
      </w:pPr>
      <w:r>
        <w:rPr>
          <w:color w:val="000000"/>
        </w:rPr>
        <w:t>暖流对沿岸有增温增湿的作用，受其影响济州岛1月气温偏高。济州岛纬度位置与我国秦岭—淮河一线相近，但秦岭—淮河一线是我国1月0</w:t>
      </w:r>
      <w:r>
        <w:rPr>
          <w:rFonts w:ascii="Times New Roman" w:hAnsi="Times New Roman" w:eastAsia="Times New Roman" w:cs="Times New Roman"/>
          <w:color w:val="000000"/>
        </w:rPr>
        <w:t>℃</w:t>
      </w:r>
      <w:r>
        <w:rPr>
          <w:color w:val="000000"/>
        </w:rPr>
        <w:t>等温线经过的地区，而该岛最低月均温为5.1</w:t>
      </w:r>
      <w:r>
        <w:rPr>
          <w:rFonts w:ascii="Times New Roman" w:hAnsi="Times New Roman" w:eastAsia="Times New Roman" w:cs="Times New Roman"/>
          <w:color w:val="000000"/>
        </w:rPr>
        <w:t>℃</w:t>
      </w:r>
      <w:r>
        <w:rPr>
          <w:color w:val="000000"/>
        </w:rPr>
        <w:t>，出现在1月，这说明秦岭—淮河一线的1月平均气温比济州岛的1月平均气温低，所以暖流对济州岛具有增温的作用。</w:t>
      </w:r>
    </w:p>
    <w:p w14:paraId="46BCC6C6">
      <w:pPr>
        <w:spacing w:line="360" w:lineRule="auto"/>
        <w:jc w:val="left"/>
        <w:textAlignment w:val="center"/>
        <w:rPr>
          <w:color w:val="000000"/>
        </w:rPr>
      </w:pPr>
      <w:r>
        <w:rPr>
          <w:color w:val="000000"/>
        </w:rPr>
        <w:t>【小问4详解】</w:t>
      </w:r>
    </w:p>
    <w:p w14:paraId="42B03E30">
      <w:pPr>
        <w:spacing w:line="360" w:lineRule="auto"/>
        <w:jc w:val="left"/>
        <w:textAlignment w:val="center"/>
        <w:rPr>
          <w:color w:val="000000"/>
        </w:rPr>
      </w:pPr>
      <w:r>
        <w:rPr>
          <w:color w:val="000000"/>
        </w:rPr>
        <w:t>济州岛位于朝鲜半岛以南82.8km，靠近大陆，但该岛屿又四面环海，所以其气候兼具大陆和海洋的特点。济州岛最低月均温出现在1月是因为较为靠近冬季亚洲高压中心，受强大的亚洲高压影响，冬季风强劲，冬季风是由较高纬度吹向较低纬度寒冷的风，所以受其影响济州岛降温作用明显，故济州岛全年最低月均温出现在1月；济州岛四面环海，气温受海洋的调节作用较强，由于海水的比热容较大，夏季与陆地同时增温时，增温较慢，因此北半球陆地最热月普遍是7月，而济州岛最高月均温出现的时间延迟到8月，相对于陆地滞后。</w:t>
      </w:r>
    </w:p>
    <w:p w14:paraId="66C8E749">
      <w:pPr>
        <w:spacing w:line="360" w:lineRule="auto"/>
        <w:jc w:val="left"/>
        <w:textAlignment w:val="center"/>
        <w:rPr>
          <w:color w:val="000000"/>
        </w:rPr>
      </w:pPr>
      <w:r>
        <w:rPr>
          <w:color w:val="000000"/>
        </w:rPr>
        <w:t xml:space="preserve">25. </w:t>
      </w:r>
      <w:r>
        <w:rPr>
          <w:rFonts w:ascii="宋体" w:hAnsi="宋体" w:eastAsia="宋体" w:cs="宋体"/>
          <w:color w:val="000000"/>
        </w:rPr>
        <w:t>阅读材料，回答下列问题</w:t>
      </w:r>
      <w:r>
        <w:rPr>
          <w:rFonts w:ascii="宋体" w:hAnsi="宋体" w:eastAsia="宋体" w:cs="宋体"/>
          <w:color w:val="000000"/>
          <w:position w:val="-12"/>
        </w:rPr>
        <w:drawing>
          <wp:inline distT="0" distB="0" distL="114300" distR="114300">
            <wp:extent cx="127000" cy="76200"/>
            <wp:effectExtent l="0" t="0" r="0" b="0"/>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19"/>
                    <a:stretch>
                      <a:fillRect/>
                    </a:stretch>
                  </pic:blipFill>
                  <pic:spPr>
                    <a:xfrm>
                      <a:off x="0" y="0"/>
                      <a:ext cx="127000" cy="76200"/>
                    </a:xfrm>
                    <a:prstGeom prst="rect">
                      <a:avLst/>
                    </a:prstGeom>
                  </pic:spPr>
                </pic:pic>
              </a:graphicData>
            </a:graphic>
          </wp:inline>
        </w:drawing>
      </w:r>
    </w:p>
    <w:p w14:paraId="0EFBC08D">
      <w:pPr>
        <w:spacing w:line="360" w:lineRule="auto"/>
        <w:ind w:firstLine="420"/>
        <w:jc w:val="left"/>
        <w:textAlignment w:val="center"/>
        <w:rPr>
          <w:color w:val="000000"/>
        </w:rPr>
      </w:pPr>
      <w:r>
        <w:rPr>
          <w:rFonts w:ascii="楷体" w:hAnsi="楷体" w:eastAsia="楷体" w:cs="楷体"/>
          <w:color w:val="000000"/>
        </w:rPr>
        <w:t>材料一</w:t>
      </w:r>
      <w:r>
        <w:rPr>
          <w:rFonts w:ascii="宋体" w:hAnsi="宋体" w:eastAsia="宋体" w:cs="宋体"/>
          <w:color w:val="000000"/>
        </w:rPr>
        <w:t>：</w:t>
      </w:r>
      <w:r>
        <w:rPr>
          <w:rFonts w:ascii="楷体" w:hAnsi="楷体" w:eastAsia="楷体" w:cs="楷体"/>
          <w:color w:val="000000"/>
        </w:rPr>
        <w:t>在国务院批复的《江苏省国土空间规划（</w:t>
      </w:r>
      <w:r>
        <w:rPr>
          <w:rFonts w:ascii="Times New Roman" w:hAnsi="Times New Roman" w:eastAsia="Times New Roman" w:cs="Times New Roman"/>
          <w:color w:val="000000"/>
        </w:rPr>
        <w:t>2021</w:t>
      </w:r>
      <w:r>
        <w:rPr>
          <w:rFonts w:ascii="楷体" w:hAnsi="楷体" w:eastAsia="楷体" w:cs="楷体"/>
          <w:color w:val="000000"/>
        </w:rPr>
        <w:t>-</w:t>
      </w:r>
      <w:r>
        <w:rPr>
          <w:rFonts w:ascii="Times New Roman" w:hAnsi="Times New Roman" w:eastAsia="Times New Roman" w:cs="Times New Roman"/>
          <w:color w:val="000000"/>
        </w:rPr>
        <w:t>2035</w:t>
      </w:r>
      <w:r>
        <w:rPr>
          <w:rFonts w:ascii="楷体" w:hAnsi="楷体" w:eastAsia="楷体" w:cs="楷体"/>
          <w:color w:val="000000"/>
        </w:rPr>
        <w:t>年）》中，提出南京都市圈、苏锡常都市圈和淮海经济区（简称</w:t>
      </w:r>
      <w:r>
        <w:rPr>
          <w:rFonts w:ascii="宋体" w:hAnsi="宋体" w:eastAsia="宋体" w:cs="宋体"/>
          <w:color w:val="000000"/>
        </w:rPr>
        <w:t>“</w:t>
      </w:r>
      <w:r>
        <w:rPr>
          <w:rFonts w:ascii="楷体" w:hAnsi="楷体" w:eastAsia="楷体" w:cs="楷体"/>
          <w:color w:val="000000"/>
        </w:rPr>
        <w:t>两圈一区</w:t>
      </w:r>
      <w:r>
        <w:rPr>
          <w:rFonts w:ascii="宋体" w:hAnsi="宋体" w:eastAsia="宋体" w:cs="宋体"/>
          <w:color w:val="000000"/>
        </w:rPr>
        <w:t>”</w:t>
      </w:r>
      <w:r>
        <w:rPr>
          <w:rFonts w:ascii="楷体" w:hAnsi="楷体" w:eastAsia="楷体" w:cs="楷体"/>
          <w:color w:val="000000"/>
        </w:rPr>
        <w:t>）建设，推动全省高质量发展。</w:t>
      </w:r>
    </w:p>
    <w:p w14:paraId="56AB37F1">
      <w:pPr>
        <w:spacing w:line="360" w:lineRule="auto"/>
        <w:ind w:firstLine="420"/>
        <w:jc w:val="left"/>
        <w:textAlignment w:val="center"/>
        <w:rPr>
          <w:color w:val="000000"/>
        </w:rPr>
      </w:pPr>
      <w:r>
        <w:rPr>
          <w:rFonts w:ascii="楷体" w:hAnsi="楷体" w:eastAsia="楷体" w:cs="楷体"/>
          <w:color w:val="000000"/>
        </w:rPr>
        <w:t>材料二</w:t>
      </w:r>
      <w:r>
        <w:rPr>
          <w:rFonts w:ascii="宋体" w:hAnsi="宋体" w:eastAsia="宋体" w:cs="宋体"/>
          <w:color w:val="000000"/>
        </w:rPr>
        <w:t>：</w:t>
      </w:r>
      <w:r>
        <w:rPr>
          <w:rFonts w:ascii="楷体" w:hAnsi="楷体" w:eastAsia="楷体" w:cs="楷体"/>
          <w:color w:val="000000"/>
        </w:rPr>
        <w:t>下表为</w:t>
      </w:r>
      <w:r>
        <w:rPr>
          <w:rFonts w:ascii="宋体" w:hAnsi="宋体" w:eastAsia="宋体" w:cs="宋体"/>
          <w:color w:val="000000"/>
        </w:rPr>
        <w:t>“</w:t>
      </w:r>
      <w:r>
        <w:rPr>
          <w:rFonts w:ascii="楷体" w:hAnsi="楷体" w:eastAsia="楷体" w:cs="楷体"/>
          <w:color w:val="000000"/>
        </w:rPr>
        <w:t>两圈一区的经济社会发展情况</w:t>
      </w:r>
      <w:r>
        <w:rPr>
          <w:rFonts w:ascii="宋体" w:hAnsi="宋体" w:eastAsia="宋体" w:cs="宋体"/>
          <w:color w:val="000000"/>
        </w:rPr>
        <w:t>”</w:t>
      </w:r>
      <w:r>
        <w:rPr>
          <w:rFonts w:ascii="楷体" w:hAnsi="楷体" w:eastAsia="楷体" w:cs="楷体"/>
          <w:color w:val="000000"/>
        </w:rPr>
        <w:t>，下图为</w:t>
      </w:r>
      <w:r>
        <w:rPr>
          <w:rFonts w:ascii="宋体" w:hAnsi="宋体" w:eastAsia="宋体" w:cs="宋体"/>
          <w:color w:val="000000"/>
        </w:rPr>
        <w:t>“</w:t>
      </w:r>
      <w:r>
        <w:rPr>
          <w:rFonts w:ascii="楷体" w:hAnsi="楷体" w:eastAsia="楷体" w:cs="楷体"/>
          <w:color w:val="000000"/>
        </w:rPr>
        <w:t>两圈一区建设规划简图</w:t>
      </w:r>
      <w:r>
        <w:rPr>
          <w:rFonts w:ascii="宋体" w:hAnsi="宋体" w:eastAsia="宋体" w:cs="宋体"/>
          <w:color w:val="000000"/>
        </w:rPr>
        <w:t>”</w:t>
      </w:r>
    </w:p>
    <w:tbl>
      <w:tblPr>
        <w:tblStyle w:val="4"/>
        <w:tblW w:w="79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980"/>
        <w:gridCol w:w="1980"/>
        <w:gridCol w:w="1980"/>
        <w:gridCol w:w="1980"/>
      </w:tblGrid>
      <w:tr w14:paraId="5BF24F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671657A">
            <w:pPr>
              <w:spacing w:line="360" w:lineRule="auto"/>
              <w:jc w:val="left"/>
              <w:textAlignment w:val="center"/>
              <w:rPr>
                <w:color w:val="000000"/>
              </w:rPr>
            </w:pPr>
            <w:r>
              <w:rPr>
                <w:rFonts w:ascii="楷体" w:hAnsi="楷体" w:eastAsia="楷体" w:cs="楷体"/>
                <w:color w:val="000000"/>
              </w:rPr>
              <w:t>名称</w:t>
            </w:r>
          </w:p>
        </w:tc>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E3801F">
            <w:pPr>
              <w:spacing w:line="360" w:lineRule="auto"/>
              <w:jc w:val="left"/>
              <w:textAlignment w:val="center"/>
              <w:rPr>
                <w:color w:val="000000"/>
              </w:rPr>
            </w:pPr>
            <w:r>
              <w:rPr>
                <w:rFonts w:ascii="楷体" w:hAnsi="楷体" w:eastAsia="楷体" w:cs="楷体"/>
                <w:color w:val="000000"/>
              </w:rPr>
              <w:t>中心城市</w:t>
            </w:r>
          </w:p>
        </w:tc>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0A8C9A">
            <w:pPr>
              <w:spacing w:line="360" w:lineRule="auto"/>
              <w:jc w:val="left"/>
              <w:textAlignment w:val="center"/>
              <w:rPr>
                <w:color w:val="000000"/>
              </w:rPr>
            </w:pPr>
            <w:r>
              <w:rPr>
                <w:rFonts w:ascii="楷体" w:hAnsi="楷体" w:eastAsia="楷体" w:cs="楷体"/>
                <w:color w:val="000000"/>
              </w:rPr>
              <w:t>中心城市的</w:t>
            </w:r>
            <w:r>
              <w:rPr>
                <w:rFonts w:ascii="Times New Roman" w:hAnsi="Times New Roman" w:eastAsia="Times New Roman" w:cs="Times New Roman"/>
                <w:color w:val="000000"/>
              </w:rPr>
              <w:t>GDP</w:t>
            </w:r>
            <w:r>
              <w:rPr>
                <w:rFonts w:ascii="楷体" w:hAnsi="楷体" w:eastAsia="楷体" w:cs="楷体"/>
                <w:color w:val="000000"/>
              </w:rPr>
              <w:t>占比</w:t>
            </w:r>
          </w:p>
        </w:tc>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DED29A">
            <w:pPr>
              <w:spacing w:line="360" w:lineRule="auto"/>
              <w:jc w:val="left"/>
              <w:textAlignment w:val="center"/>
              <w:rPr>
                <w:color w:val="000000"/>
              </w:rPr>
            </w:pPr>
            <w:r>
              <w:rPr>
                <w:rFonts w:ascii="楷体" w:hAnsi="楷体" w:eastAsia="楷体" w:cs="楷体"/>
                <w:color w:val="000000"/>
              </w:rPr>
              <w:t>城镇化水平</w:t>
            </w:r>
          </w:p>
        </w:tc>
      </w:tr>
      <w:tr w14:paraId="4A245D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01F2521">
            <w:pPr>
              <w:spacing w:line="360" w:lineRule="auto"/>
              <w:jc w:val="left"/>
              <w:textAlignment w:val="center"/>
              <w:rPr>
                <w:color w:val="000000"/>
              </w:rPr>
            </w:pPr>
            <w:r>
              <w:rPr>
                <w:rFonts w:ascii="楷体" w:hAnsi="楷体" w:eastAsia="楷体" w:cs="楷体"/>
                <w:color w:val="000000"/>
              </w:rPr>
              <w:t>南京都市圈</w:t>
            </w:r>
          </w:p>
        </w:tc>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8971FE">
            <w:pPr>
              <w:spacing w:line="360" w:lineRule="auto"/>
              <w:jc w:val="left"/>
              <w:textAlignment w:val="center"/>
              <w:rPr>
                <w:color w:val="000000"/>
              </w:rPr>
            </w:pPr>
            <w:r>
              <w:rPr>
                <w:rFonts w:ascii="楷体" w:hAnsi="楷体" w:eastAsia="楷体" w:cs="楷体"/>
                <w:color w:val="000000"/>
              </w:rPr>
              <w:t>南京</w:t>
            </w:r>
          </w:p>
        </w:tc>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C29E57">
            <w:pPr>
              <w:spacing w:line="360" w:lineRule="auto"/>
              <w:jc w:val="left"/>
              <w:textAlignment w:val="center"/>
              <w:rPr>
                <w:color w:val="000000"/>
              </w:rPr>
            </w:pPr>
            <w:r>
              <w:rPr>
                <w:rFonts w:ascii="Times New Roman" w:hAnsi="Times New Roman" w:eastAsia="Times New Roman" w:cs="Times New Roman"/>
                <w:color w:val="000000"/>
              </w:rPr>
              <w:t>34</w:t>
            </w:r>
            <w:r>
              <w:rPr>
                <w:rFonts w:ascii="楷体" w:hAnsi="楷体" w:eastAsia="楷体" w:cs="楷体"/>
                <w:color w:val="000000"/>
              </w:rPr>
              <w:t>%</w:t>
            </w:r>
          </w:p>
        </w:tc>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5294AA">
            <w:pPr>
              <w:spacing w:line="360" w:lineRule="auto"/>
              <w:jc w:val="left"/>
              <w:textAlignment w:val="center"/>
              <w:rPr>
                <w:color w:val="000000"/>
              </w:rPr>
            </w:pPr>
            <w:r>
              <w:rPr>
                <w:rFonts w:ascii="Times New Roman" w:hAnsi="Times New Roman" w:eastAsia="Times New Roman" w:cs="Times New Roman"/>
                <w:color w:val="000000"/>
              </w:rPr>
              <w:t>73</w:t>
            </w:r>
            <w:r>
              <w:rPr>
                <w:rFonts w:ascii="楷体" w:hAnsi="楷体" w:eastAsia="楷体" w:cs="楷体"/>
                <w:color w:val="000000"/>
              </w:rPr>
              <w:t>%</w:t>
            </w:r>
          </w:p>
        </w:tc>
      </w:tr>
      <w:tr w14:paraId="07335B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AC5798">
            <w:pPr>
              <w:spacing w:line="360" w:lineRule="auto"/>
              <w:jc w:val="left"/>
              <w:textAlignment w:val="center"/>
              <w:rPr>
                <w:color w:val="000000"/>
              </w:rPr>
            </w:pPr>
            <w:r>
              <w:rPr>
                <w:rFonts w:ascii="楷体" w:hAnsi="楷体" w:eastAsia="楷体" w:cs="楷体"/>
                <w:color w:val="000000"/>
              </w:rPr>
              <w:t>苏锡常都市圈</w:t>
            </w:r>
          </w:p>
        </w:tc>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D989700">
            <w:pPr>
              <w:spacing w:line="360" w:lineRule="auto"/>
              <w:jc w:val="left"/>
              <w:textAlignment w:val="center"/>
              <w:rPr>
                <w:color w:val="000000"/>
              </w:rPr>
            </w:pPr>
            <w:r>
              <w:rPr>
                <w:rFonts w:ascii="楷体" w:hAnsi="楷体" w:eastAsia="楷体" w:cs="楷体"/>
                <w:color w:val="000000"/>
              </w:rPr>
              <w:t>苏州、无锡、常州</w:t>
            </w:r>
          </w:p>
        </w:tc>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4340AE0">
            <w:pPr>
              <w:spacing w:line="360" w:lineRule="auto"/>
              <w:jc w:val="left"/>
              <w:textAlignment w:val="center"/>
              <w:rPr>
                <w:color w:val="000000"/>
              </w:rPr>
            </w:pPr>
            <w:r>
              <w:rPr>
                <w:rFonts w:ascii="Times New Roman" w:hAnsi="Times New Roman" w:eastAsia="Times New Roman" w:cs="Times New Roman"/>
                <w:color w:val="000000"/>
              </w:rPr>
              <w:t>100</w:t>
            </w:r>
            <w:r>
              <w:rPr>
                <w:rFonts w:ascii="楷体" w:hAnsi="楷体" w:eastAsia="楷体" w:cs="楷体"/>
                <w:color w:val="000000"/>
              </w:rPr>
              <w:t>%</w:t>
            </w:r>
          </w:p>
        </w:tc>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43E8C2">
            <w:pPr>
              <w:spacing w:line="360" w:lineRule="auto"/>
              <w:jc w:val="left"/>
              <w:textAlignment w:val="center"/>
              <w:rPr>
                <w:color w:val="000000"/>
              </w:rPr>
            </w:pPr>
            <w:r>
              <w:rPr>
                <w:rFonts w:ascii="Times New Roman" w:hAnsi="Times New Roman" w:eastAsia="Times New Roman" w:cs="Times New Roman"/>
                <w:color w:val="000000"/>
              </w:rPr>
              <w:t>82</w:t>
            </w:r>
            <w:r>
              <w:rPr>
                <w:rFonts w:ascii="楷体" w:hAnsi="楷体" w:eastAsia="楷体" w:cs="楷体"/>
                <w:color w:val="000000"/>
              </w:rPr>
              <w:t>%</w:t>
            </w:r>
          </w:p>
        </w:tc>
      </w:tr>
      <w:tr w14:paraId="63F08F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EF037D">
            <w:pPr>
              <w:spacing w:line="360" w:lineRule="auto"/>
              <w:jc w:val="left"/>
              <w:textAlignment w:val="center"/>
              <w:rPr>
                <w:color w:val="000000"/>
              </w:rPr>
            </w:pPr>
            <w:r>
              <w:rPr>
                <w:rFonts w:ascii="楷体" w:hAnsi="楷体" w:eastAsia="楷体" w:cs="楷体"/>
                <w:color w:val="000000"/>
              </w:rPr>
              <w:t>淮海经济区</w:t>
            </w:r>
          </w:p>
        </w:tc>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DD31FE4">
            <w:pPr>
              <w:spacing w:line="360" w:lineRule="auto"/>
              <w:jc w:val="left"/>
              <w:textAlignment w:val="center"/>
              <w:rPr>
                <w:color w:val="000000"/>
              </w:rPr>
            </w:pPr>
            <w:r>
              <w:rPr>
                <w:rFonts w:ascii="楷体" w:hAnsi="楷体" w:eastAsia="楷体" w:cs="楷体"/>
                <w:color w:val="000000"/>
              </w:rPr>
              <w:t>徐州</w:t>
            </w:r>
          </w:p>
        </w:tc>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6560E5">
            <w:pPr>
              <w:spacing w:line="360" w:lineRule="auto"/>
              <w:jc w:val="left"/>
              <w:textAlignment w:val="center"/>
              <w:rPr>
                <w:color w:val="000000"/>
              </w:rPr>
            </w:pPr>
            <w:r>
              <w:rPr>
                <w:rFonts w:ascii="Times New Roman" w:hAnsi="Times New Roman" w:eastAsia="Times New Roman" w:cs="Times New Roman"/>
                <w:color w:val="000000"/>
              </w:rPr>
              <w:t>21</w:t>
            </w:r>
            <w:r>
              <w:rPr>
                <w:rFonts w:ascii="楷体" w:hAnsi="楷体" w:eastAsia="楷体" w:cs="楷体"/>
                <w:color w:val="000000"/>
              </w:rPr>
              <w:t>%</w:t>
            </w:r>
          </w:p>
        </w:tc>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C9D73B">
            <w:pPr>
              <w:spacing w:line="360" w:lineRule="auto"/>
              <w:jc w:val="left"/>
              <w:textAlignment w:val="center"/>
              <w:rPr>
                <w:color w:val="000000"/>
              </w:rPr>
            </w:pPr>
            <w:r>
              <w:rPr>
                <w:rFonts w:ascii="Times New Roman" w:hAnsi="Times New Roman" w:eastAsia="Times New Roman" w:cs="Times New Roman"/>
                <w:color w:val="000000"/>
              </w:rPr>
              <w:t>60</w:t>
            </w:r>
            <w:r>
              <w:rPr>
                <w:rFonts w:ascii="楷体" w:hAnsi="楷体" w:eastAsia="楷体" w:cs="楷体"/>
                <w:color w:val="000000"/>
              </w:rPr>
              <w:t>%</w:t>
            </w:r>
          </w:p>
        </w:tc>
      </w:tr>
    </w:tbl>
    <w:p w14:paraId="717EB6A8">
      <w:pPr>
        <w:spacing w:line="360" w:lineRule="auto"/>
        <w:jc w:val="left"/>
        <w:textAlignment w:val="center"/>
        <w:rPr>
          <w:color w:val="000000"/>
        </w:rPr>
      </w:pPr>
      <w:r>
        <w:rPr>
          <w:color w:val="000000"/>
        </w:rPr>
        <w:drawing>
          <wp:inline distT="0" distB="0" distL="114300" distR="114300">
            <wp:extent cx="2781300" cy="240030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2781300" cy="2400300"/>
                    </a:xfrm>
                    <a:prstGeom prst="rect">
                      <a:avLst/>
                    </a:prstGeom>
                  </pic:spPr>
                </pic:pic>
              </a:graphicData>
            </a:graphic>
          </wp:inline>
        </w:drawing>
      </w:r>
    </w:p>
    <w:p w14:paraId="13CBB1E7">
      <w:pPr>
        <w:spacing w:line="360" w:lineRule="auto"/>
        <w:jc w:val="left"/>
        <w:textAlignment w:val="center"/>
        <w:rPr>
          <w:color w:val="000000"/>
        </w:rPr>
      </w:pPr>
      <w:r>
        <w:rPr>
          <w:color w:val="000000"/>
        </w:rPr>
        <w:t>（1）</w:t>
      </w:r>
      <w:r>
        <w:rPr>
          <w:rFonts w:ascii="宋体" w:hAnsi="宋体" w:eastAsia="宋体" w:cs="宋体"/>
          <w:color w:val="000000"/>
        </w:rPr>
        <w:t>依据材料，写出两圈一区各自最突出的区位优势。</w:t>
      </w:r>
    </w:p>
    <w:p w14:paraId="308302A8">
      <w:pPr>
        <w:spacing w:line="360" w:lineRule="auto"/>
        <w:jc w:val="left"/>
        <w:textAlignment w:val="center"/>
        <w:rPr>
          <w:color w:val="000000"/>
        </w:rPr>
      </w:pPr>
      <w:r>
        <w:rPr>
          <w:rFonts w:ascii="宋体" w:hAnsi="宋体" w:eastAsia="宋体" w:cs="宋体"/>
          <w:color w:val="000000"/>
        </w:rPr>
        <w:t>南京都市圈：</w:t>
      </w:r>
      <w:r>
        <w:rPr>
          <w:color w:val="000000"/>
        </w:rPr>
        <w:t>____</w:t>
      </w:r>
      <w:r>
        <w:rPr>
          <w:rFonts w:ascii="宋体" w:hAnsi="宋体" w:eastAsia="宋体" w:cs="宋体"/>
          <w:color w:val="000000"/>
        </w:rPr>
        <w:t>；苏锡常都市圈</w:t>
      </w:r>
      <w:r>
        <w:rPr>
          <w:color w:val="000000"/>
        </w:rPr>
        <w:t>____</w:t>
      </w:r>
      <w:r>
        <w:rPr>
          <w:rFonts w:ascii="宋体" w:hAnsi="宋体" w:eastAsia="宋体" w:cs="宋体"/>
          <w:color w:val="000000"/>
        </w:rPr>
        <w:t>；淮海经济区：</w:t>
      </w:r>
      <w:r>
        <w:rPr>
          <w:color w:val="000000"/>
        </w:rPr>
        <w:t>____</w:t>
      </w:r>
      <w:r>
        <w:rPr>
          <w:rFonts w:ascii="宋体" w:hAnsi="宋体" w:eastAsia="宋体" w:cs="宋体"/>
          <w:color w:val="000000"/>
        </w:rPr>
        <w:t>。</w:t>
      </w:r>
    </w:p>
    <w:p w14:paraId="5BE44EC7">
      <w:pPr>
        <w:spacing w:line="360" w:lineRule="auto"/>
        <w:jc w:val="left"/>
        <w:textAlignment w:val="center"/>
        <w:rPr>
          <w:color w:val="000000"/>
        </w:rPr>
      </w:pPr>
      <w:r>
        <w:rPr>
          <w:color w:val="000000"/>
        </w:rPr>
        <w:t>（2）</w:t>
      </w:r>
      <w:r>
        <w:rPr>
          <w:rFonts w:ascii="宋体" w:hAnsi="宋体" w:eastAsia="宋体" w:cs="宋体"/>
          <w:color w:val="000000"/>
        </w:rPr>
        <w:t>依据南京都市圏和苏锡常都市圈</w:t>
      </w:r>
      <w:r>
        <w:rPr>
          <w:rFonts w:ascii="宋体" w:hAnsi="宋体" w:eastAsia="宋体" w:cs="宋体"/>
          <w:color w:val="000000"/>
          <w:position w:val="0"/>
        </w:rPr>
        <w:drawing>
          <wp:inline distT="0" distB="0" distL="114300" distR="114300">
            <wp:extent cx="133350" cy="177800"/>
            <wp:effectExtent l="0" t="0" r="0" b="13335"/>
            <wp:docPr id="100037" name="图片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pic:cNvPicPr>
                      <a:picLocks noChangeAspect="1"/>
                    </pic:cNvPicPr>
                  </pic:nvPicPr>
                  <pic:blipFill>
                    <a:blip r:embed="rId17"/>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名称差异概括各自的空间结构，并简述淮海经济区的空间特点。</w:t>
      </w:r>
    </w:p>
    <w:p w14:paraId="49D1DEA1">
      <w:pPr>
        <w:spacing w:line="360" w:lineRule="auto"/>
        <w:jc w:val="left"/>
        <w:textAlignment w:val="center"/>
        <w:rPr>
          <w:color w:val="000000"/>
        </w:rPr>
      </w:pPr>
      <w:r>
        <w:rPr>
          <w:color w:val="000000"/>
        </w:rPr>
        <w:t>（3）</w:t>
      </w:r>
      <w:r>
        <w:rPr>
          <w:rFonts w:ascii="宋体" w:hAnsi="宋体" w:eastAsia="宋体" w:cs="宋体"/>
          <w:color w:val="000000"/>
        </w:rPr>
        <w:t>为共建卓越的全球城市区域，两圈一区发展可采取的主要措施有：①提升中心城市能级；②打破行政区划壁垒；③提高省会城市首位度；④推动城市间深度融合；⑤提高区域城镇化水平；⑥避免城市间同质化竞争。请根据两圈一区的发展情况，选择各自优先采取的措施（填写上述主要措施对应的序号、每个序号限填一次，每空限填一个）。</w:t>
      </w:r>
    </w:p>
    <w:p w14:paraId="3A7645A4">
      <w:pPr>
        <w:spacing w:line="360" w:lineRule="auto"/>
        <w:jc w:val="left"/>
        <w:textAlignment w:val="center"/>
        <w:rPr>
          <w:color w:val="000000"/>
        </w:rPr>
      </w:pPr>
      <w:r>
        <w:rPr>
          <w:rFonts w:ascii="宋体" w:hAnsi="宋体" w:eastAsia="宋体" w:cs="宋体"/>
          <w:color w:val="000000"/>
        </w:rPr>
        <w:t>南京都市圈：</w:t>
      </w:r>
      <w:r>
        <w:rPr>
          <w:color w:val="000000"/>
        </w:rPr>
        <w:t>____</w:t>
      </w:r>
      <w:r>
        <w:rPr>
          <w:rFonts w:ascii="宋体" w:hAnsi="宋体" w:eastAsia="宋体" w:cs="宋体"/>
          <w:color w:val="000000"/>
        </w:rPr>
        <w:t>、</w:t>
      </w:r>
      <w:r>
        <w:rPr>
          <w:color w:val="000000"/>
        </w:rPr>
        <w:t>____</w:t>
      </w:r>
      <w:r>
        <w:rPr>
          <w:rFonts w:ascii="宋体" w:hAnsi="宋体" w:eastAsia="宋体" w:cs="宋体"/>
          <w:color w:val="000000"/>
        </w:rPr>
        <w:t>；</w:t>
      </w:r>
    </w:p>
    <w:p w14:paraId="161DBB41">
      <w:pPr>
        <w:spacing w:line="360" w:lineRule="auto"/>
        <w:jc w:val="left"/>
        <w:textAlignment w:val="center"/>
        <w:rPr>
          <w:color w:val="000000"/>
        </w:rPr>
      </w:pPr>
      <w:r>
        <w:rPr>
          <w:rFonts w:ascii="宋体" w:hAnsi="宋体" w:eastAsia="宋体" w:cs="宋体"/>
          <w:color w:val="000000"/>
        </w:rPr>
        <w:t>苏锡常都市圈：</w:t>
      </w:r>
      <w:r>
        <w:rPr>
          <w:color w:val="000000"/>
        </w:rPr>
        <w:t>____</w:t>
      </w:r>
      <w:r>
        <w:rPr>
          <w:rFonts w:ascii="宋体" w:hAnsi="宋体" w:eastAsia="宋体" w:cs="宋体"/>
          <w:color w:val="000000"/>
        </w:rPr>
        <w:t>、</w:t>
      </w:r>
      <w:r>
        <w:rPr>
          <w:color w:val="000000"/>
        </w:rPr>
        <w:t>____</w:t>
      </w:r>
      <w:r>
        <w:rPr>
          <w:rFonts w:ascii="宋体" w:hAnsi="宋体" w:eastAsia="宋体" w:cs="宋体"/>
          <w:color w:val="000000"/>
        </w:rPr>
        <w:t>；</w:t>
      </w:r>
    </w:p>
    <w:p w14:paraId="4C79F61D">
      <w:pPr>
        <w:spacing w:line="360" w:lineRule="auto"/>
        <w:jc w:val="left"/>
        <w:textAlignment w:val="center"/>
        <w:rPr>
          <w:color w:val="000000"/>
        </w:rPr>
      </w:pPr>
      <w:r>
        <w:rPr>
          <w:rFonts w:ascii="宋体" w:hAnsi="宋体" w:eastAsia="宋体" w:cs="宋体"/>
          <w:color w:val="000000"/>
        </w:rPr>
        <w:t>淮海经济区：</w:t>
      </w:r>
      <w:r>
        <w:rPr>
          <w:color w:val="000000"/>
        </w:rPr>
        <w:t>____</w:t>
      </w:r>
      <w:r>
        <w:rPr>
          <w:rFonts w:ascii="宋体" w:hAnsi="宋体" w:eastAsia="宋体" w:cs="宋体"/>
          <w:color w:val="000000"/>
        </w:rPr>
        <w:t>、</w:t>
      </w:r>
      <w:r>
        <w:rPr>
          <w:color w:val="000000"/>
        </w:rPr>
        <w:t>____</w:t>
      </w:r>
      <w:r>
        <w:rPr>
          <w:rFonts w:ascii="宋体" w:hAnsi="宋体" w:eastAsia="宋体" w:cs="宋体"/>
          <w:color w:val="000000"/>
        </w:rPr>
        <w:t>。</w:t>
      </w:r>
    </w:p>
    <w:p w14:paraId="23A15F97">
      <w:pPr>
        <w:spacing w:line="360" w:lineRule="auto"/>
        <w:textAlignment w:val="center"/>
        <w:rPr>
          <w:color w:val="000000"/>
        </w:rPr>
      </w:pPr>
      <w:r>
        <w:rPr>
          <w:color w:val="2E75B6"/>
        </w:rPr>
        <w:t>【答案】</w:t>
      </w:r>
      <w:r>
        <w:rPr>
          <w:color w:val="000000"/>
        </w:rPr>
        <w:t xml:space="preserve">（1）    ①. 省会城市，产业基础雄厚    ②. 靠近上海，地理位置优越    ③. 经济腹地广，发展空间大    </w:t>
      </w:r>
    </w:p>
    <w:p w14:paraId="4CF783E1">
      <w:pPr>
        <w:spacing w:line="360" w:lineRule="auto"/>
        <w:textAlignment w:val="center"/>
        <w:rPr>
          <w:color w:val="000000"/>
        </w:rPr>
      </w:pPr>
      <w:r>
        <w:rPr>
          <w:color w:val="000000"/>
        </w:rPr>
        <w:t xml:space="preserve">（2）南京都市圈空间结构以南京为区域中心，空间结构单一；苏锡常都市圈的空间结构涉及三大城市，受上海大城市的辐射带动。淮海经济区是以徐州为中心，包括山东、江苏、河南、安徽四省接壤地区的经济协作区。其主要包括徐州都市圈和淮安增长极，区域内城市发展差异较大，尚处于集聚与辐射能力提升阶段。    </w:t>
      </w:r>
    </w:p>
    <w:p w14:paraId="16B52C34">
      <w:pPr>
        <w:spacing w:line="360" w:lineRule="auto"/>
        <w:textAlignment w:val="center"/>
        <w:rPr>
          <w:color w:val="000000"/>
        </w:rPr>
      </w:pPr>
      <w:r>
        <w:rPr>
          <w:color w:val="000000"/>
        </w:rPr>
        <w:t>（3）    ①. ③    ②. ①    ③. ②    ④. ⑥    ⑤. ④    ⑥. ⑤</w:t>
      </w:r>
    </w:p>
    <w:p w14:paraId="43F9E8C8">
      <w:pPr>
        <w:spacing w:line="360" w:lineRule="auto"/>
        <w:textAlignment w:val="center"/>
        <w:rPr>
          <w:color w:val="000000"/>
        </w:rPr>
      </w:pPr>
      <w:r>
        <w:rPr>
          <w:color w:val="2E75B6"/>
        </w:rPr>
        <w:t>【解析】</w:t>
      </w:r>
    </w:p>
    <w:p w14:paraId="72A135DC">
      <w:pPr>
        <w:spacing w:line="360" w:lineRule="auto"/>
        <w:jc w:val="left"/>
        <w:textAlignment w:val="center"/>
        <w:rPr>
          <w:color w:val="000000"/>
        </w:rPr>
      </w:pPr>
      <w:r>
        <w:rPr>
          <w:color w:val="000000"/>
        </w:rPr>
        <w:t>【分析】本题以</w:t>
      </w:r>
      <w:r>
        <w:rPr>
          <w:rFonts w:ascii="宋体" w:hAnsi="宋体" w:eastAsia="宋体" w:cs="宋体"/>
          <w:color w:val="000000"/>
        </w:rPr>
        <w:t>南京都市圏、苏锡常都市圈、淮海经济区为载体，涉及城市区位条件、空间结构、城市发展方向等知识点，主要考查调动和运用地理知识的能力，体现区域认知、综合思维等学科素养。</w:t>
      </w:r>
    </w:p>
    <w:p w14:paraId="5B6644EE">
      <w:pPr>
        <w:spacing w:line="360" w:lineRule="auto"/>
        <w:jc w:val="left"/>
        <w:textAlignment w:val="center"/>
        <w:rPr>
          <w:color w:val="000000"/>
        </w:rPr>
      </w:pPr>
      <w:r>
        <w:rPr>
          <w:color w:val="000000"/>
        </w:rPr>
        <w:t>【小问1详解】</w:t>
      </w:r>
    </w:p>
    <w:p w14:paraId="1F30E352">
      <w:pPr>
        <w:spacing w:line="360" w:lineRule="auto"/>
        <w:jc w:val="left"/>
        <w:textAlignment w:val="center"/>
        <w:rPr>
          <w:color w:val="000000"/>
        </w:rPr>
      </w:pPr>
      <w:r>
        <w:rPr>
          <w:color w:val="000000"/>
        </w:rPr>
        <w:t>南京都市圈最突出的区位优势是，南京是江苏的省会城市，经济水平高，产业基础雄厚；由图可看出，</w:t>
      </w:r>
      <w:r>
        <w:rPr>
          <w:rFonts w:ascii="宋体" w:hAnsi="宋体" w:eastAsia="宋体" w:cs="宋体"/>
          <w:color w:val="000000"/>
        </w:rPr>
        <w:t>苏锡常都市圈</w:t>
      </w:r>
      <w:r>
        <w:rPr>
          <w:color w:val="000000"/>
        </w:rPr>
        <w:t>靠近上海，地理位置优越，能受到上海大城市的辐射带动作用。图中可看出，淮海经济区空间广阔，腹地广，发展空间大。</w:t>
      </w:r>
    </w:p>
    <w:p w14:paraId="0EA58729">
      <w:pPr>
        <w:spacing w:line="360" w:lineRule="auto"/>
        <w:jc w:val="left"/>
        <w:textAlignment w:val="center"/>
        <w:rPr>
          <w:color w:val="000000"/>
        </w:rPr>
      </w:pPr>
      <w:r>
        <w:rPr>
          <w:color w:val="000000"/>
        </w:rPr>
        <w:t>【小问2详解】</w:t>
      </w:r>
    </w:p>
    <w:p w14:paraId="60ADBE37">
      <w:pPr>
        <w:spacing w:line="360" w:lineRule="auto"/>
        <w:jc w:val="left"/>
        <w:textAlignment w:val="center"/>
        <w:rPr>
          <w:color w:val="000000"/>
        </w:rPr>
      </w:pPr>
      <w:r>
        <w:rPr>
          <w:color w:val="000000"/>
        </w:rPr>
        <w:t>从名称来看，南京都市圈主要包括南京市，其空间结构以南京为区域中心，空间结构单一；苏锡常都市圈包括苏州、无锡、常州，空间结构涉及三大城市，图中可看出该都市圈临近上海，受上海大城市的辐射带动作用。淮海经济区中心城市是徐州，以徐州为中心，包括山东、江苏、河南、安徽四省接壤地区，区域内城镇化水平相对较低，城市间经济发展差异较大，尚处于集聚与辐射能力提升阶段。</w:t>
      </w:r>
    </w:p>
    <w:p w14:paraId="09A9FB77">
      <w:pPr>
        <w:spacing w:line="360" w:lineRule="auto"/>
        <w:jc w:val="left"/>
        <w:textAlignment w:val="center"/>
        <w:rPr>
          <w:color w:val="000000"/>
        </w:rPr>
      </w:pPr>
      <w:r>
        <w:rPr>
          <w:color w:val="000000"/>
        </w:rPr>
        <w:t>【小问3详解】</w:t>
      </w:r>
    </w:p>
    <w:p w14:paraId="74B7A6CA">
      <w:pPr>
        <w:spacing w:line="360" w:lineRule="auto"/>
        <w:jc w:val="left"/>
        <w:textAlignment w:val="center"/>
        <w:rPr>
          <w:color w:val="000000"/>
        </w:rPr>
      </w:pPr>
      <w:r>
        <w:rPr>
          <w:color w:val="000000"/>
        </w:rPr>
        <w:t>结合材料描述，南京都市圈中心城市GDP占比不高，城镇化水平不是最高的，适合③</w:t>
      </w:r>
      <w:r>
        <w:rPr>
          <w:rFonts w:ascii="宋体" w:hAnsi="宋体" w:eastAsia="宋体" w:cs="宋体"/>
          <w:color w:val="000000"/>
        </w:rPr>
        <w:t>提高省会城市首位度和①提升中心城市能级，从而带动周边城市发展；苏锡常都市圈</w:t>
      </w:r>
      <w:r>
        <w:rPr>
          <w:color w:val="000000"/>
        </w:rPr>
        <w:t>中心城市GDP占比高，涉及三个行政区，适合</w:t>
      </w:r>
      <w:r>
        <w:rPr>
          <w:rFonts w:ascii="宋体" w:hAnsi="宋体" w:eastAsia="宋体" w:cs="宋体"/>
          <w:color w:val="000000"/>
        </w:rPr>
        <w:t>②打破行政区划壁垒和⑥避免城市间同质化竞争，差异化发展；淮海经济区中心城市</w:t>
      </w:r>
      <w:r>
        <w:rPr>
          <w:color w:val="000000"/>
        </w:rPr>
        <w:t>GDP占比低，城市化水平低，应</w:t>
      </w:r>
      <w:r>
        <w:rPr>
          <w:rFonts w:ascii="宋体" w:hAnsi="宋体" w:eastAsia="宋体" w:cs="宋体"/>
          <w:color w:val="000000"/>
        </w:rPr>
        <w:t>④推动城市间深度融合，⑤提高区域城镇化水平。</w:t>
      </w:r>
    </w:p>
    <w:p w14:paraId="5A3FD14E">
      <w:pPr>
        <w:spacing w:line="360" w:lineRule="auto"/>
        <w:jc w:val="left"/>
        <w:textAlignment w:val="center"/>
        <w:rPr>
          <w:color w:val="000000"/>
        </w:rPr>
      </w:pPr>
      <w:r>
        <w:rPr>
          <w:color w:val="000000"/>
        </w:rPr>
        <w:t xml:space="preserve">26. </w:t>
      </w:r>
      <w:r>
        <w:rPr>
          <w:rFonts w:ascii="宋体" w:hAnsi="宋体" w:eastAsia="宋体" w:cs="宋体"/>
          <w:color w:val="000000"/>
        </w:rPr>
        <w:t>阅读材料，回答下列问题。</w:t>
      </w:r>
    </w:p>
    <w:p w14:paraId="152219EA">
      <w:pPr>
        <w:spacing w:line="360" w:lineRule="auto"/>
        <w:ind w:firstLine="420"/>
        <w:jc w:val="left"/>
        <w:textAlignment w:val="center"/>
        <w:rPr>
          <w:color w:val="000000"/>
        </w:rPr>
      </w:pPr>
      <w:r>
        <w:rPr>
          <w:rFonts w:ascii="楷体" w:hAnsi="楷体" w:eastAsia="楷体" w:cs="楷体"/>
          <w:color w:val="000000"/>
        </w:rPr>
        <w:t>材料一</w:t>
      </w:r>
      <w:r>
        <w:rPr>
          <w:rFonts w:ascii="宋体" w:hAnsi="宋体" w:eastAsia="宋体" w:cs="宋体"/>
          <w:color w:val="000000"/>
        </w:rPr>
        <w:t>：</w:t>
      </w:r>
      <w:r>
        <w:rPr>
          <w:rFonts w:ascii="楷体" w:hAnsi="楷体" w:eastAsia="楷体" w:cs="楷体"/>
          <w:color w:val="000000"/>
        </w:rPr>
        <w:t>我国的大兴安岭与新西兰的南阿尔卑斯山，走向相似，均位于中纬度地区，下图为</w:t>
      </w:r>
      <w:r>
        <w:rPr>
          <w:rFonts w:ascii="宋体" w:hAnsi="宋体" w:eastAsia="宋体" w:cs="宋体"/>
          <w:color w:val="000000"/>
        </w:rPr>
        <w:t>“</w:t>
      </w:r>
      <w:r>
        <w:rPr>
          <w:rFonts w:ascii="楷体" w:hAnsi="楷体" w:eastAsia="楷体" w:cs="楷体"/>
          <w:color w:val="000000"/>
        </w:rPr>
        <w:t>大兴安冷和南阿尔卑斯山的位置及地形示意图</w:t>
      </w:r>
      <w:r>
        <w:rPr>
          <w:rFonts w:ascii="宋体" w:hAnsi="宋体" w:eastAsia="宋体" w:cs="宋体"/>
          <w:color w:val="000000"/>
        </w:rPr>
        <w:t>”</w:t>
      </w:r>
      <w:r>
        <w:rPr>
          <w:rFonts w:ascii="楷体" w:hAnsi="楷体" w:eastAsia="楷体" w:cs="楷体"/>
          <w:color w:val="000000"/>
        </w:rPr>
        <w:t>。</w:t>
      </w:r>
    </w:p>
    <w:p w14:paraId="3D1B32A7">
      <w:pPr>
        <w:spacing w:line="360" w:lineRule="auto"/>
        <w:ind w:firstLine="420"/>
        <w:jc w:val="left"/>
        <w:textAlignment w:val="center"/>
        <w:rPr>
          <w:color w:val="000000"/>
        </w:rPr>
      </w:pPr>
      <w:r>
        <w:rPr>
          <w:rFonts w:ascii="楷体" w:hAnsi="楷体" w:eastAsia="楷体" w:cs="楷体"/>
          <w:color w:val="000000"/>
        </w:rPr>
        <w:t>材料二</w:t>
      </w:r>
      <w:r>
        <w:rPr>
          <w:rFonts w:ascii="宋体" w:hAnsi="宋体" w:eastAsia="宋体" w:cs="宋体"/>
          <w:color w:val="000000"/>
        </w:rPr>
        <w:t>：</w:t>
      </w:r>
      <w:r>
        <w:rPr>
          <w:rFonts w:ascii="楷体" w:hAnsi="楷体" w:eastAsia="楷体" w:cs="楷体"/>
          <w:color w:val="000000"/>
        </w:rPr>
        <w:t>两列山脉东倒均为重要的农业区，农产品商品率都较高，但面向的市场不同。新西兰畜牧业发达，是著名乳畜产品生产国，粮食自给率约</w:t>
      </w:r>
      <w:r>
        <w:rPr>
          <w:rFonts w:ascii="Times New Roman" w:hAnsi="Times New Roman" w:eastAsia="Times New Roman" w:cs="Times New Roman"/>
          <w:color w:val="000000"/>
        </w:rPr>
        <w:t>60</w:t>
      </w:r>
      <w:r>
        <w:rPr>
          <w:rFonts w:ascii="楷体" w:hAnsi="楷体" w:eastAsia="楷体" w:cs="楷体"/>
          <w:color w:val="000000"/>
        </w:rPr>
        <w:t>%。</w:t>
      </w:r>
    </w:p>
    <w:p w14:paraId="637A4BCB">
      <w:pPr>
        <w:spacing w:line="360" w:lineRule="auto"/>
        <w:jc w:val="left"/>
        <w:textAlignment w:val="center"/>
        <w:rPr>
          <w:color w:val="000000"/>
        </w:rPr>
      </w:pPr>
      <w:r>
        <w:rPr>
          <w:color w:val="000000"/>
        </w:rPr>
        <w:drawing>
          <wp:inline distT="0" distB="0" distL="114300" distR="114300">
            <wp:extent cx="4295775" cy="1952625"/>
            <wp:effectExtent l="0" t="0" r="9525" b="9525"/>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4295775" cy="1952625"/>
                    </a:xfrm>
                    <a:prstGeom prst="rect">
                      <a:avLst/>
                    </a:prstGeom>
                  </pic:spPr>
                </pic:pic>
              </a:graphicData>
            </a:graphic>
          </wp:inline>
        </w:drawing>
      </w:r>
    </w:p>
    <w:p w14:paraId="03B41DC9">
      <w:pPr>
        <w:spacing w:line="360" w:lineRule="auto"/>
        <w:jc w:val="left"/>
        <w:textAlignment w:val="center"/>
        <w:rPr>
          <w:color w:val="000000"/>
        </w:rPr>
      </w:pPr>
      <w:r>
        <w:rPr>
          <w:color w:val="000000"/>
        </w:rPr>
        <w:t>（1）</w:t>
      </w:r>
      <w:r>
        <w:rPr>
          <w:rFonts w:ascii="宋体" w:hAnsi="宋体" w:eastAsia="宋体" w:cs="宋体"/>
          <w:color w:val="000000"/>
        </w:rPr>
        <w:t>简述两列山脉东侧地区的气候特征对当地农业活动的不同影响。</w:t>
      </w:r>
    </w:p>
    <w:p w14:paraId="0533F069">
      <w:pPr>
        <w:spacing w:line="360" w:lineRule="auto"/>
        <w:jc w:val="left"/>
        <w:textAlignment w:val="center"/>
        <w:rPr>
          <w:color w:val="000000"/>
        </w:rPr>
      </w:pPr>
      <w:r>
        <w:rPr>
          <w:color w:val="000000"/>
        </w:rPr>
        <w:t>（2）</w:t>
      </w:r>
      <w:r>
        <w:rPr>
          <w:rFonts w:ascii="宋体" w:hAnsi="宋体" w:eastAsia="宋体" w:cs="宋体"/>
          <w:color w:val="000000"/>
        </w:rPr>
        <w:t>两列山脉东侧地区农产品商品率都较高，分析其形成条件的异同。</w:t>
      </w:r>
    </w:p>
    <w:p w14:paraId="3CC14CE9">
      <w:pPr>
        <w:spacing w:line="360" w:lineRule="auto"/>
        <w:jc w:val="left"/>
        <w:textAlignment w:val="center"/>
        <w:rPr>
          <w:color w:val="000000"/>
        </w:rPr>
      </w:pPr>
      <w:r>
        <w:rPr>
          <w:rFonts w:ascii="宋体" w:hAnsi="宋体" w:eastAsia="宋体" w:cs="宋体"/>
          <w:color w:val="000000"/>
        </w:rPr>
        <w:t>相同点：</w:t>
      </w:r>
      <w:r>
        <w:rPr>
          <w:color w:val="000000"/>
        </w:rPr>
        <w:t>____</w:t>
      </w:r>
      <w:r>
        <w:rPr>
          <w:rFonts w:ascii="宋体" w:hAnsi="宋体" w:eastAsia="宋体" w:cs="宋体"/>
          <w:color w:val="000000"/>
        </w:rPr>
        <w:t>；不同点：</w:t>
      </w:r>
      <w:r>
        <w:rPr>
          <w:color w:val="000000"/>
        </w:rPr>
        <w:t>____</w:t>
      </w:r>
      <w:r>
        <w:rPr>
          <w:rFonts w:ascii="宋体" w:hAnsi="宋体" w:eastAsia="宋体" w:cs="宋体"/>
          <w:color w:val="000000"/>
        </w:rPr>
        <w:t>。</w:t>
      </w:r>
    </w:p>
    <w:p w14:paraId="7061F6DE">
      <w:pPr>
        <w:spacing w:line="360" w:lineRule="auto"/>
        <w:jc w:val="left"/>
        <w:textAlignment w:val="center"/>
        <w:rPr>
          <w:color w:val="000000"/>
        </w:rPr>
      </w:pPr>
      <w:r>
        <w:rPr>
          <w:color w:val="000000"/>
        </w:rPr>
        <w:t>（3）</w:t>
      </w:r>
      <w:r>
        <w:rPr>
          <w:rFonts w:ascii="宋体" w:hAnsi="宋体" w:eastAsia="宋体" w:cs="宋体"/>
          <w:color w:val="000000"/>
        </w:rPr>
        <w:t>针对新西兰粮食的自给现状，有两种观点：</w:t>
      </w:r>
    </w:p>
    <w:p w14:paraId="70F9DAD8">
      <w:pPr>
        <w:spacing w:line="360" w:lineRule="auto"/>
        <w:jc w:val="left"/>
        <w:textAlignment w:val="center"/>
        <w:rPr>
          <w:color w:val="000000"/>
        </w:rPr>
      </w:pPr>
      <w:r>
        <w:rPr>
          <w:rFonts w:ascii="宋体" w:hAnsi="宋体" w:eastAsia="宋体" w:cs="宋体"/>
          <w:color w:val="000000"/>
        </w:rPr>
        <w:t>观点一认为，在经济全球化背景下，继续通过进口粮食以满足国内需求；</w:t>
      </w:r>
    </w:p>
    <w:p w14:paraId="42B7DF88">
      <w:pPr>
        <w:spacing w:line="360" w:lineRule="auto"/>
        <w:jc w:val="left"/>
        <w:textAlignment w:val="center"/>
        <w:rPr>
          <w:color w:val="000000"/>
        </w:rPr>
      </w:pPr>
      <w:r>
        <w:rPr>
          <w:rFonts w:ascii="宋体" w:hAnsi="宋体" w:eastAsia="宋体" w:cs="宋体"/>
          <w:color w:val="000000"/>
        </w:rPr>
        <w:t>观点二认为，为保障粮食安全，扩大本国粮食生产以满足国内需求。</w:t>
      </w:r>
    </w:p>
    <w:p w14:paraId="7DE5179A">
      <w:pPr>
        <w:spacing w:line="360" w:lineRule="auto"/>
        <w:jc w:val="left"/>
        <w:textAlignment w:val="center"/>
        <w:rPr>
          <w:color w:val="000000"/>
        </w:rPr>
      </w:pPr>
      <w:r>
        <w:rPr>
          <w:rFonts w:ascii="宋体" w:hAnsi="宋体" w:eastAsia="宋体" w:cs="宋体"/>
          <w:color w:val="000000"/>
        </w:rPr>
        <w:t>请选择一个你支持的观点，说明理由。</w:t>
      </w:r>
    </w:p>
    <w:p w14:paraId="1C4939D0">
      <w:pPr>
        <w:spacing w:line="360" w:lineRule="auto"/>
        <w:textAlignment w:val="center"/>
        <w:rPr>
          <w:color w:val="000000"/>
        </w:rPr>
      </w:pPr>
      <w:r>
        <w:rPr>
          <w:color w:val="2E75B6"/>
        </w:rPr>
        <w:t>【答案】</w:t>
      </w:r>
      <w:r>
        <w:rPr>
          <w:color w:val="000000"/>
        </w:rPr>
        <w:t xml:space="preserve">（1）大兴安岭东侧：夏季高温多雨，冬季寒冷干燥，雨热同期，季风气候显著，有利于种植业（如水稻)的发展。南阿尔卑斯山东侧：全年温和湿润，降水季节变率小，有利于多汁牧草的生长，有利于乳畜业的发展。    </w:t>
      </w:r>
    </w:p>
    <w:p w14:paraId="5AD463FC">
      <w:pPr>
        <w:spacing w:line="360" w:lineRule="auto"/>
        <w:textAlignment w:val="center"/>
        <w:rPr>
          <w:color w:val="000000"/>
        </w:rPr>
      </w:pPr>
      <w:r>
        <w:rPr>
          <w:color w:val="000000"/>
        </w:rPr>
        <w:t xml:space="preserve">（2）    ①. 大兴安岭东部有松嫩平原、三江平原，新西兰有坎特伯雷平原，地势平坦开阔，便于机械化耕作和集中经营；两地均形成特色农业带，配套加工、物流产业链，高度专业化生产，提升商品化效率；人口密度低（东北人均耕地多/新西兰牧场广阔)，劳动力投入少，人均农产品盈余高。    ②. 农业生产类型不同：大兴安岭东部以粮食种植（小麦、玉米）为主；新西兰以畜牧业（乳制品、羊肉）为主。市场方向不同：大兴安岭农产品主要供应国内市场；新西兰产品以出口为导向（如乳制品全球出口第一)。政策驱动因素不同：大兴安岭受国家粮基地政策扶持；新西兰由私营农场主导，国际市场需求拉动。    </w:t>
      </w:r>
    </w:p>
    <w:p w14:paraId="218ABF97">
      <w:pPr>
        <w:spacing w:line="360" w:lineRule="auto"/>
        <w:textAlignment w:val="center"/>
        <w:rPr>
          <w:color w:val="000000"/>
        </w:rPr>
      </w:pPr>
      <w:r>
        <w:rPr>
          <w:color w:val="000000"/>
        </w:rPr>
        <w:t>（3）选择加大粮食进口：新西兰耕地有限，畜牧业发达，进口粮食可释放土地，发挥比较优势，用于高效益乳业出口；国际粮价常低于本土种植成本，进口能降低居民生活支出/成本；海运发达，且与多国签有自贸协定，能分散供应风险，具有供应链保障。</w:t>
      </w:r>
    </w:p>
    <w:p w14:paraId="327B923A">
      <w:pPr>
        <w:spacing w:line="360" w:lineRule="auto"/>
        <w:jc w:val="left"/>
        <w:textAlignment w:val="center"/>
        <w:rPr>
          <w:color w:val="000000"/>
        </w:rPr>
      </w:pPr>
      <w:r>
        <w:rPr>
          <w:color w:val="000000"/>
        </w:rPr>
        <w:t>或选择扩大本国粮食生产：小麦自给率目前较低，本土增产可应对国际供应链中断风险，降低进口依赖；已设定耕地保护政策，划定高产农田保护区，严禁开发，为增产提供基础；推广轮作技术，可改善土壤肥力，减少化肥使用，符合生态可持续发展的理念。</w:t>
      </w:r>
    </w:p>
    <w:p w14:paraId="67DFB92C">
      <w:pPr>
        <w:spacing w:line="360" w:lineRule="auto"/>
        <w:textAlignment w:val="center"/>
        <w:rPr>
          <w:color w:val="000000"/>
        </w:rPr>
      </w:pPr>
      <w:r>
        <w:rPr>
          <w:color w:val="2E75B6"/>
        </w:rPr>
        <w:t>【解析】</w:t>
      </w:r>
    </w:p>
    <w:p w14:paraId="60F4C9FF">
      <w:pPr>
        <w:spacing w:line="360" w:lineRule="auto"/>
        <w:jc w:val="left"/>
        <w:textAlignment w:val="center"/>
        <w:rPr>
          <w:color w:val="000000"/>
        </w:rPr>
      </w:pPr>
      <w:r>
        <w:rPr>
          <w:color w:val="000000"/>
        </w:rPr>
        <w:t>【分析】本题以大兴安冷和南阿尔卑斯山的位置及地形示意图为材料设置题目，涉及农业区位因素、农产品商品率的影响因素、粮食安全的影响因素等知识，考查学生调用地理知识的能力，体现区域认知、综合思维学科素养。</w:t>
      </w:r>
    </w:p>
    <w:p w14:paraId="41BA3C40">
      <w:pPr>
        <w:spacing w:line="360" w:lineRule="auto"/>
        <w:jc w:val="left"/>
        <w:textAlignment w:val="center"/>
        <w:rPr>
          <w:color w:val="000000"/>
        </w:rPr>
      </w:pPr>
      <w:r>
        <w:rPr>
          <w:color w:val="000000"/>
        </w:rPr>
        <w:t>【小问1详解】</w:t>
      </w:r>
    </w:p>
    <w:p w14:paraId="3AC6C985">
      <w:pPr>
        <w:spacing w:line="360" w:lineRule="auto"/>
        <w:jc w:val="left"/>
        <w:textAlignment w:val="center"/>
        <w:rPr>
          <w:color w:val="000000"/>
        </w:rPr>
      </w:pPr>
      <w:r>
        <w:rPr>
          <w:color w:val="000000"/>
        </w:rPr>
        <w:t>我国大兴安岭东侧地区是东北平原，地处温带季风气候区，夏季高温多雨，雨热同期，农业种植的水分和热量条件好，有利于种植业的发展；冬季寒冷漫长，不利于病虫害越冬，农产品品质好。新西兰南阿尔卑斯山东侧是温带海洋性气候，终年温和湿润，降水季节差异小，由于水分条件好，气温适宜，有利于多汁牧草的生长，有利于促进当地乳畜业的发展。</w:t>
      </w:r>
    </w:p>
    <w:p w14:paraId="316D5DA4">
      <w:pPr>
        <w:spacing w:line="360" w:lineRule="auto"/>
        <w:jc w:val="left"/>
        <w:textAlignment w:val="center"/>
        <w:rPr>
          <w:color w:val="000000"/>
        </w:rPr>
      </w:pPr>
      <w:r>
        <w:rPr>
          <w:color w:val="000000"/>
        </w:rPr>
        <w:t>【小问2详解】</w:t>
      </w:r>
    </w:p>
    <w:p w14:paraId="0ADAB104">
      <w:pPr>
        <w:spacing w:line="360" w:lineRule="auto"/>
        <w:jc w:val="left"/>
        <w:textAlignment w:val="center"/>
        <w:rPr>
          <w:color w:val="000000"/>
        </w:rPr>
      </w:pPr>
      <w:r>
        <w:rPr>
          <w:color w:val="000000"/>
        </w:rPr>
        <w:t>农产品商品率高说明农产品产量大，而当地农产品消费量较少。大兴安岭东部主要是东北平原（包括松嫩平原、三江平原），新西兰有坎特伯雷平原，两地区都是地势平坦开阔，地广人稀，便于机械化耕作和集中经营，农产品产量大；两地均形成特色农业带，东北平原地区有商品谷物农业带，新西兰有畜牧带，相关农产品的配套加工和物流产业链完善，农业高度专业化生产，提升农产品商品化效率；两地均为地广人稀，人口密度均较低，当地市场消费量较少，人均农产品盈余高。不同点是：两地的农业生产类型不同，大兴安岭东部以种植业为主，主要的农产品是粮食作物的小麦、玉米；新西兰以畜牧业（乳制品、羊肉）为主。我国人口众多，农产品消费市场广阔，大兴安岭农产品主要供应国内市场；新西兰人口稀少，农产品主要以出口为导向（如乳制品全球出口第一)，对应国际市场；东北平原是我国重要的粮食生产基地，其粮食生产受国家粮基地政策扶持；新西兰由私营农场主导，是个体经营，国际市场需求拉动。</w:t>
      </w:r>
    </w:p>
    <w:p w14:paraId="6F8776DD">
      <w:pPr>
        <w:spacing w:line="360" w:lineRule="auto"/>
        <w:jc w:val="left"/>
        <w:textAlignment w:val="center"/>
        <w:rPr>
          <w:color w:val="000000"/>
        </w:rPr>
      </w:pPr>
      <w:r>
        <w:rPr>
          <w:color w:val="000000"/>
        </w:rPr>
        <w:t>【小问3详解】</w:t>
      </w:r>
      <w:bookmarkStart w:id="0" w:name="_GoBack"/>
      <w:bookmarkEnd w:id="0"/>
    </w:p>
    <w:sectPr>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Microsoft YaHei UI">
    <w:panose1 w:val="020B0503020204020204"/>
    <w:charset w:val="86"/>
    <w:family w:val="swiss"/>
    <w:pitch w:val="default"/>
    <w:sig w:usb0="80000287" w:usb1="2ACF3C5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2B558EF"/>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wmf"/><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3" Type="http://schemas.openxmlformats.org/officeDocument/2006/relationships/fontTable" Target="fontTable.xml"/><Relationship Id="rId22" Type="http://schemas.openxmlformats.org/officeDocument/2006/relationships/customXml" Target="../customXml/item1.xml"/><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wmf"/><Relationship Id="rId18" Type="http://schemas.openxmlformats.org/officeDocument/2006/relationships/image" Target="media/image15.png"/><Relationship Id="rId17" Type="http://schemas.openxmlformats.org/officeDocument/2006/relationships/image" Target="media/image14.wmf"/><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wmf"/><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Pages>16</Pages>
  <Words>2698</Words>
  <Characters>2793</Characters>
  <TotalTime>0</TotalTime>
  <ScaleCrop>false</ScaleCrop>
  <LinksUpToDate>false</LinksUpToDate>
  <CharactersWithSpaces>2929</CharactersWithSpaces>
  <Application>WPS Office_12.1.0.21541_F1E327BC-269C-435d-A152-05C5408002CA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2025-06-17T02:10:55Z</dcterms:created>
  <dc:creator>何京应</dc:creator>
  <cp:lastModifiedBy>何京应</cp:lastModifiedBy>
  <dcterms:modified xsi:type="dcterms:W3CDTF">2025-06-17T02:11:00Z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eyJoZGlkIjoiMmQyOWI4MTA5ZjUxOTVhZDRlNGViNjg4YmFkOWNhMjAiLCJ1c2VySWQiOiI3NjQ3NDAxODcifQ==</vt:lpwstr>
  </property>
  <property fmtid="{D5CDD505-2E9C-101B-9397-08002B2CF9AE}" pid="3" name="KSOProductBuildVer">
    <vt:lpwstr>2052-12.1.0.21541</vt:lpwstr>
  </property>
  <property fmtid="{D5CDD505-2E9C-101B-9397-08002B2CF9AE}" pid="4" name="ICV">
    <vt:lpwstr>55791C4034AA4158A86AAB39A88BE695_12</vt:lpwstr>
  </property>
</Properties>
</file>